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168A14" w14:textId="77777777" w:rsidR="009B2F1E" w:rsidRDefault="00F05EDE" w:rsidP="00F05EDE">
      <w:pPr>
        <w:jc w:val="center"/>
      </w:pPr>
      <w:r>
        <w:t>8</w:t>
      </w:r>
    </w:p>
    <w:p w14:paraId="08BC1ABA" w14:textId="77777777" w:rsidR="009B2F1E" w:rsidRDefault="009B2F1E" w:rsidP="009B2F1E">
      <w:pPr>
        <w:jc w:val="both"/>
      </w:pPr>
    </w:p>
    <w:p w14:paraId="335A15FB" w14:textId="77777777" w:rsidR="009B2F1E" w:rsidRDefault="009B2F1E" w:rsidP="00F05EDE">
      <w:pPr>
        <w:jc w:val="center"/>
      </w:pPr>
      <w:r>
        <w:t>972 luglio 4, Verona.</w:t>
      </w:r>
    </w:p>
    <w:p w14:paraId="220A11CE" w14:textId="77777777" w:rsidR="009B2F1E" w:rsidRDefault="009B2F1E" w:rsidP="00380261">
      <w:pPr>
        <w:jc w:val="both"/>
      </w:pPr>
    </w:p>
    <w:p w14:paraId="7759DA95" w14:textId="77777777" w:rsidR="00446530" w:rsidRPr="00446530" w:rsidRDefault="00446530" w:rsidP="00446530">
      <w:pPr>
        <w:jc w:val="both"/>
      </w:pPr>
      <w:r w:rsidRPr="00013182">
        <w:t xml:space="preserve">Di fronte al patriarca di Aquileia Radaldus/Rodaldus, Anno e suo nipote Martinus contestano alla chiesa dei Santi Faustino e Giovita il possesso di alcuni territori nel Gardesano e </w:t>
      </w:r>
      <w:r w:rsidRPr="00013182">
        <w:rPr>
          <w:i/>
        </w:rPr>
        <w:t>in finibus Veronensis</w:t>
      </w:r>
      <w:r w:rsidRPr="00013182">
        <w:t xml:space="preserve"> che pretendono spetti a loro per eredità del defunto Pedrevertus. L’avvocato della chiesa, Vivencius, mostra il testamento di Pedreverto, con il quale questi donò le proprietà in questione ai Santi Faustino e Giovita. Appellandosi al capitolare del 967, emanato da Otto &lt;I</w:t>
      </w:r>
      <w:r w:rsidRPr="00013182">
        <w:rPr>
          <w:sz w:val="20"/>
        </w:rPr>
        <w:t xml:space="preserve">&gt;, </w:t>
      </w:r>
      <w:r w:rsidRPr="00013182">
        <w:t>Martinus e Anno propongono di sottoporsi a un duello per dimostrare la falsità della carta portata dalla parte avversa. Al giorno convenuto, tuttavia, si presenta il solo Martino, mentre Vivencius rinuncia alla pugna.</w:t>
      </w:r>
      <w:bookmarkStart w:id="0" w:name="_GoBack"/>
      <w:bookmarkEnd w:id="0"/>
    </w:p>
    <w:p w14:paraId="4D2382A9" w14:textId="77777777" w:rsidR="009B2F1E" w:rsidRPr="00446530" w:rsidRDefault="009B2F1E" w:rsidP="00380261">
      <w:pPr>
        <w:jc w:val="both"/>
      </w:pPr>
    </w:p>
    <w:p w14:paraId="66586309" w14:textId="77777777" w:rsidR="009B2F1E" w:rsidRDefault="009B2F1E" w:rsidP="00380261">
      <w:pPr>
        <w:jc w:val="both"/>
      </w:pPr>
      <w:r>
        <w:t>Originale,</w:t>
      </w:r>
      <w:r w:rsidR="00983547">
        <w:t xml:space="preserve"> in Verona,</w:t>
      </w:r>
      <w:r>
        <w:t xml:space="preserve"> </w:t>
      </w:r>
      <w:r w:rsidR="00E17D6D">
        <w:t>A</w:t>
      </w:r>
      <w:r>
        <w:t xml:space="preserve">rchivio di Stato, </w:t>
      </w:r>
      <w:r w:rsidRPr="00534584">
        <w:t>S. Maria in Organo,</w:t>
      </w:r>
      <w:r>
        <w:t xml:space="preserve"> n. 36, app</w:t>
      </w:r>
      <w:r w:rsidR="002E11C1">
        <w:t>*</w:t>
      </w:r>
      <w:r>
        <w:t>. [A].</w:t>
      </w:r>
    </w:p>
    <w:p w14:paraId="67DC41B5" w14:textId="77777777" w:rsidR="008B7A76" w:rsidRDefault="008B7A76" w:rsidP="00380261">
      <w:pPr>
        <w:jc w:val="both"/>
      </w:pPr>
    </w:p>
    <w:p w14:paraId="07D1BD1C" w14:textId="77777777" w:rsidR="00E17D6D" w:rsidRDefault="00E17D6D" w:rsidP="00380261">
      <w:pPr>
        <w:jc w:val="both"/>
      </w:pPr>
      <w:r>
        <w:t>Edizione Manaresi, n. 170.</w:t>
      </w:r>
    </w:p>
    <w:p w14:paraId="1450946C" w14:textId="77777777" w:rsidR="009B2F1E" w:rsidRDefault="009B2F1E" w:rsidP="00380261">
      <w:pPr>
        <w:jc w:val="both"/>
      </w:pPr>
    </w:p>
    <w:p w14:paraId="725A9E04" w14:textId="77777777" w:rsidR="00B272B4" w:rsidRPr="0069577D" w:rsidRDefault="009B2F1E" w:rsidP="00380261">
      <w:pPr>
        <w:jc w:val="both"/>
        <w:rPr>
          <w:lang w:val="fr-FR"/>
        </w:rPr>
      </w:pPr>
      <w:r>
        <w:t xml:space="preserve">Dum in Dei nomine suburbium civitatis Veronae non longe ab ipsa civitate in codam </w:t>
      </w:r>
      <w:r w:rsidRPr="000E47D0">
        <w:t>monasterio sancte Dei genitricis Marie qui dicitur Organo</w:t>
      </w:r>
      <w:r>
        <w:t>, ubi refectorio vocabatur, quod monasterium ipsum pertinere videtur de sub regimine et potestate patriarce</w:t>
      </w:r>
      <w:r w:rsidR="009B1496">
        <w:rPr>
          <w:rStyle w:val="Rimandonotadichiusura"/>
        </w:rPr>
        <w:endnoteReference w:id="1"/>
      </w:r>
      <w:r>
        <w:t xml:space="preserve"> Aquilensi ecclesiae in broilo proprio ipsius monasterii, ubi domnus </w:t>
      </w:r>
      <w:r w:rsidRPr="000E47D0">
        <w:t>Radaldus patriarcha</w:t>
      </w:r>
      <w:r w:rsidR="002761A6" w:rsidRPr="000E47D0">
        <w:rPr>
          <w:rStyle w:val="Rimandonotadichiusura"/>
        </w:rPr>
        <w:endnoteReference w:id="2"/>
      </w:r>
      <w:r w:rsidRPr="000E47D0">
        <w:t xml:space="preserve"> istius sancte sedis Aquilensis</w:t>
      </w:r>
      <w:r>
        <w:t xml:space="preserve"> ecclesie et missus domnorum inperatorum in iudicio resediset una cum </w:t>
      </w:r>
      <w:r w:rsidRPr="000E47D0">
        <w:t>Gandulfus comes</w:t>
      </w:r>
      <w:r w:rsidR="002761A6">
        <w:rPr>
          <w:rStyle w:val="Rimandonotadichiusura"/>
        </w:rPr>
        <w:endnoteReference w:id="3"/>
      </w:r>
      <w:r>
        <w:t xml:space="preserve"> istius comitato et </w:t>
      </w:r>
      <w:r w:rsidRPr="000E47D0">
        <w:t>Ubertus marchio et comes</w:t>
      </w:r>
      <w:r>
        <w:t xml:space="preserve"> et </w:t>
      </w:r>
      <w:r w:rsidRPr="000E47D0">
        <w:t>Regimbaldus comes</w:t>
      </w:r>
      <w:r w:rsidR="00DA44C2">
        <w:rPr>
          <w:rStyle w:val="Rimandonotadichiusura"/>
        </w:rPr>
        <w:endnoteReference w:id="4"/>
      </w:r>
      <w:r>
        <w:t xml:space="preserve"> comitato Tarvisianense et domnus </w:t>
      </w:r>
      <w:r w:rsidRPr="000E47D0">
        <w:t>Milo</w:t>
      </w:r>
      <w:r w:rsidR="00F55D3C" w:rsidRPr="000E47D0">
        <w:rPr>
          <w:rStyle w:val="Rimandonotadichiusura"/>
        </w:rPr>
        <w:endnoteReference w:id="5"/>
      </w:r>
      <w:r w:rsidR="004C779A" w:rsidRPr="000E47D0">
        <w:t xml:space="preserve"> </w:t>
      </w:r>
      <w:r w:rsidRPr="000E47D0">
        <w:t>episcopus</w:t>
      </w:r>
      <w:r>
        <w:t xml:space="preserve"> istius sancte sedis Veronensis ȩcclesie, </w:t>
      </w:r>
      <w:r w:rsidRPr="00CC6E5D">
        <w:t>Gauslinus</w:t>
      </w:r>
      <w:r w:rsidR="004C779A" w:rsidRPr="00CC6E5D">
        <w:rPr>
          <w:rStyle w:val="Rimandonotadichiusura"/>
        </w:rPr>
        <w:endnoteReference w:id="6"/>
      </w:r>
      <w:r w:rsidR="00557A6F" w:rsidRPr="00CC6E5D">
        <w:t xml:space="preserve"> </w:t>
      </w:r>
      <w:r w:rsidRPr="00CC6E5D">
        <w:t>episcopu</w:t>
      </w:r>
      <w:r w:rsidR="00557A6F" w:rsidRPr="00CC6E5D">
        <w:t>s</w:t>
      </w:r>
      <w:r w:rsidR="00557A6F">
        <w:t xml:space="preserve"> Patavensis ȩcclesie, </w:t>
      </w:r>
      <w:r w:rsidR="00557A6F" w:rsidRPr="00CC6E5D">
        <w:t xml:space="preserve">Arnaudus </w:t>
      </w:r>
      <w:r w:rsidRPr="00CC6E5D">
        <w:t>episcopus</w:t>
      </w:r>
      <w:r>
        <w:t xml:space="preserve"> Tridentine ȩcclesie, </w:t>
      </w:r>
      <w:r w:rsidRPr="00CC6E5D">
        <w:t>Iohannes</w:t>
      </w:r>
      <w:r w:rsidR="004C779A" w:rsidRPr="00CC6E5D">
        <w:rPr>
          <w:rStyle w:val="Rimandonotadichiusura"/>
        </w:rPr>
        <w:endnoteReference w:id="7"/>
      </w:r>
      <w:r w:rsidRPr="00CC6E5D">
        <w:t xml:space="preserve"> episcopus</w:t>
      </w:r>
      <w:r>
        <w:t xml:space="preserve"> Belunensis ȩcclesie, </w:t>
      </w:r>
      <w:r w:rsidRPr="00CC6E5D">
        <w:t>Rodulfus</w:t>
      </w:r>
      <w:r w:rsidR="004C779A" w:rsidRPr="00CC6E5D">
        <w:rPr>
          <w:rStyle w:val="Rimandonotadichiusura"/>
        </w:rPr>
        <w:endnoteReference w:id="8"/>
      </w:r>
      <w:r w:rsidR="004C779A" w:rsidRPr="00CC6E5D">
        <w:t xml:space="preserve"> </w:t>
      </w:r>
      <w:r w:rsidRPr="00CC6E5D">
        <w:t>episcopus</w:t>
      </w:r>
      <w:r>
        <w:t xml:space="preserve"> Vicentine ȩcclesie, </w:t>
      </w:r>
      <w:r w:rsidRPr="00CC6E5D">
        <w:t>Andreas</w:t>
      </w:r>
      <w:r w:rsidR="006C7058" w:rsidRPr="00CC6E5D">
        <w:rPr>
          <w:rStyle w:val="Rimandonotadichiusura"/>
        </w:rPr>
        <w:endnoteReference w:id="9"/>
      </w:r>
      <w:r w:rsidRPr="00CC6E5D">
        <w:t>, Aquilinus iudices sacri palacii, Sigibertus, Andreas, Vualdingus iudices Veronenses,</w:t>
      </w:r>
      <w:r>
        <w:t xml:space="preserve"> </w:t>
      </w:r>
      <w:r w:rsidRPr="00CC6E5D">
        <w:t>Pemo et Valerio iudices Patavensis</w:t>
      </w:r>
      <w:r>
        <w:t xml:space="preserve">, </w:t>
      </w:r>
      <w:r w:rsidRPr="00CC6E5D">
        <w:t>Petrus et Iohannes iudices</w:t>
      </w:r>
      <w:r>
        <w:t xml:space="preserve"> Tredentino comitato, </w:t>
      </w:r>
      <w:r w:rsidRPr="00CC6E5D">
        <w:t>Sigipertum et Liutefredus notariis</w:t>
      </w:r>
      <w:r>
        <w:t xml:space="preserve">, </w:t>
      </w:r>
      <w:r w:rsidRPr="00CC6E5D">
        <w:t>Conradus et Riculfus item notarii</w:t>
      </w:r>
      <w:r>
        <w:t xml:space="preserve">, </w:t>
      </w:r>
      <w:r w:rsidRPr="00CC6E5D">
        <w:t>Bevo vicecomes</w:t>
      </w:r>
      <w:r>
        <w:t xml:space="preserve">, </w:t>
      </w:r>
      <w:r w:rsidRPr="00CC6E5D">
        <w:t>Albericus et Lupo et Arduhinc</w:t>
      </w:r>
      <w:r>
        <w:t xml:space="preserve"> vasi ut supra domni patriarche, </w:t>
      </w:r>
      <w:r w:rsidRPr="00CC6E5D">
        <w:t>Proveram</w:t>
      </w:r>
      <w:r>
        <w:t xml:space="preserve">, </w:t>
      </w:r>
      <w:r w:rsidRPr="00CC6E5D">
        <w:t>Amelgauso</w:t>
      </w:r>
      <w:r>
        <w:t xml:space="preserve"> et </w:t>
      </w:r>
      <w:r w:rsidRPr="00CC6E5D">
        <w:t>Iohannes</w:t>
      </w:r>
      <w:r>
        <w:t xml:space="preserve">, </w:t>
      </w:r>
      <w:r w:rsidRPr="00CC6E5D">
        <w:t>Vuilelmus</w:t>
      </w:r>
      <w:r>
        <w:t xml:space="preserve"> et </w:t>
      </w:r>
      <w:r w:rsidRPr="00CC6E5D">
        <w:t>Antelmo</w:t>
      </w:r>
      <w:r>
        <w:t xml:space="preserve">, </w:t>
      </w:r>
      <w:r w:rsidRPr="00CC6E5D">
        <w:t>Caduli</w:t>
      </w:r>
      <w:r w:rsidR="00886BF3">
        <w:rPr>
          <w:rStyle w:val="Rimandonotadichiusura"/>
        </w:rPr>
        <w:endnoteReference w:id="10"/>
      </w:r>
      <w:r>
        <w:t xml:space="preserve"> vasi ut supra domni Gandulfi comes, </w:t>
      </w:r>
      <w:r w:rsidRPr="00CC6E5D">
        <w:t>Ermario qui Erizo vocatur</w:t>
      </w:r>
      <w:r>
        <w:t xml:space="preserve">, </w:t>
      </w:r>
      <w:r w:rsidRPr="00CC6E5D">
        <w:t>Turȩsindo</w:t>
      </w:r>
      <w:r>
        <w:t xml:space="preserve"> et </w:t>
      </w:r>
      <w:r w:rsidRPr="00CC6E5D">
        <w:t>Vinterau et Remedio qui Aremezo</w:t>
      </w:r>
      <w:r>
        <w:t xml:space="preserve"> dicitur et </w:t>
      </w:r>
      <w:r w:rsidRPr="004E427C">
        <w:t>Adellardo et Erimprando qui Gezo</w:t>
      </w:r>
      <w:r>
        <w:t xml:space="preserve"> dicitur et reliquis plures. Ibique eorum venerunt presencia </w:t>
      </w:r>
      <w:r w:rsidRPr="00F707AD">
        <w:t>Anno filius quondam Iohannes</w:t>
      </w:r>
      <w:r>
        <w:t xml:space="preserve"> et </w:t>
      </w:r>
      <w:r w:rsidRPr="00F707AD">
        <w:t>Martino</w:t>
      </w:r>
      <w:r>
        <w:t xml:space="preserve"> nepote eius habitaturis in </w:t>
      </w:r>
      <w:r w:rsidRPr="00F707AD">
        <w:t>villa qui dicitur Runco</w:t>
      </w:r>
      <w:r>
        <w:t xml:space="preserve"> et rettulerunt: “Dudum in iudicio vestri cui supra, domni patriarcha et marchio seu comiti et iudicum presencia malaset </w:t>
      </w:r>
      <w:r w:rsidRPr="00F707AD">
        <w:t>Pedrevertus et Iohannes et Bonipertus presbiteris una simul cum Vivencio advocato eorum et abvocato pars ecclesie sancti Faustini et Iuvite quod introise</w:t>
      </w:r>
      <w:r>
        <w:t xml:space="preserve">t in suorum propriis rebus et eorum pertinent per ex subcesione et heredietate da quondam Pedreverto, qui fuit consobrino predicto Annoni et barbane superscripto Martino, qui positi sunt ipsis casis et rebus in finibus Veronensibus in </w:t>
      </w:r>
      <w:r w:rsidRPr="00F707AD">
        <w:t>aquario sancti Firmi</w:t>
      </w:r>
      <w:r>
        <w:t xml:space="preserve"> per singulis locis seu in </w:t>
      </w:r>
      <w:r w:rsidRPr="00F707AD">
        <w:t>iudicaria</w:t>
      </w:r>
      <w:r w:rsidR="002A229B" w:rsidRPr="00F707AD">
        <w:rPr>
          <w:rStyle w:val="Rimandonotadichiusura"/>
        </w:rPr>
        <w:endnoteReference w:id="11"/>
      </w:r>
      <w:r w:rsidRPr="00F707AD">
        <w:t xml:space="preserve"> Gardense</w:t>
      </w:r>
      <w:r>
        <w:t xml:space="preserve"> in </w:t>
      </w:r>
      <w:r w:rsidRPr="00F707AD">
        <w:t>vico Asus</w:t>
      </w:r>
      <w:r>
        <w:t xml:space="preserve"> ibidem per ceteris locis, adque in </w:t>
      </w:r>
      <w:r w:rsidRPr="00F707AD">
        <w:t>vico Quideris</w:t>
      </w:r>
      <w:r>
        <w:t xml:space="preserve"> et in </w:t>
      </w:r>
      <w:r w:rsidRPr="008B7A76">
        <w:t>vico Trebuntciolo</w:t>
      </w:r>
      <w:r>
        <w:t xml:space="preserve"> adque in </w:t>
      </w:r>
      <w:r w:rsidRPr="008B7A76">
        <w:t>insola Azanensis</w:t>
      </w:r>
      <w:r>
        <w:t xml:space="preserve"> ibidem per ceteris quibuscumque locis et vocabulis consertentibus, et ipse superscriptis Pedrevertus et Iohannes et Bonipertus presbiteris una cum Vivencio advocatore eorum dederunt responsum quod ips</w:t>
      </w:r>
      <w:r w:rsidR="007D74F7">
        <w:t>is rebus pertinet per cartula iu</w:t>
      </w:r>
      <w:r>
        <w:t>dicati da parte ecclesie sancti Faustini et Iuvite, qualiter quondam predictus Pedrevertus per iam dicta cartula in iam dicta ecclesia eisdem rebus ordinaset”. Tunc per iudicum iudicium dederunt ipsis iam dictis presbiteris una cum predicto Vivencio advocatore eorum vuadia de eadem cartula iudicati ad placitum adducendum. Tunc ibi presens ipsis predictis presbiteris cum</w:t>
      </w:r>
      <w:r w:rsidR="002A229B">
        <w:rPr>
          <w:rStyle w:val="Rimandonotaapidipagina"/>
        </w:rPr>
        <w:footnoteReference w:id="1"/>
      </w:r>
      <w:r>
        <w:t xml:space="preserve"> iam dicto Vivencio abvocatore eorum iam dicta cartula iudicati ibi presens ostenserunt et legere fecerunt. Cum ipsa cartula ibi ostensa et lecta fuerat, tunc ibi presens ipsis iam dictis Anno et Martinus eadem cartula falsa diserit ese. Tunc interrogati fuerunt si hoc abprobare voleret per punna quod ipsa cartula </w:t>
      </w:r>
      <w:r>
        <w:lastRenderedPageBreak/>
        <w:t>falsam eset. Ipsi dixerunt quod ita voleret. Tun</w:t>
      </w:r>
      <w:r w:rsidR="009B1496">
        <w:t>c</w:t>
      </w:r>
      <w:r>
        <w:t xml:space="preserve"> per iudicum iudicium dedit vuadia iam dicto Martino per punna clarisendum qualiter ipsa cartula falsa eset, et ipse Vivencius</w:t>
      </w:r>
      <w:r w:rsidR="004B7FC1">
        <w:t xml:space="preserve"> abvotus</w:t>
      </w:r>
      <w:r w:rsidR="002A229B">
        <w:rPr>
          <w:rStyle w:val="Rimandonotaapidipagina"/>
        </w:rPr>
        <w:footnoteReference w:id="2"/>
      </w:r>
      <w:r>
        <w:t xml:space="preserve"> eorum dedit vuadia per punna defendendum et eadem cartula adverandum iusta capitulare qualiter domnus Otto ese institutum</w:t>
      </w:r>
      <w:r w:rsidR="009B1496">
        <w:rPr>
          <w:rStyle w:val="Rimandonotadichiusura"/>
        </w:rPr>
        <w:endnoteReference w:id="12"/>
      </w:r>
      <w:r>
        <w:t xml:space="preserve">. </w:t>
      </w:r>
      <w:r w:rsidRPr="0069577D">
        <w:rPr>
          <w:lang w:val="fr-FR"/>
        </w:rPr>
        <w:t xml:space="preserve">Unde odie inter nos hic vestris presenciis ex utraque parcium constitutum misus est eadem punna faciendum exinde finem precipiendum. </w:t>
      </w:r>
      <w:r>
        <w:t xml:space="preserve">“Ideo ecce me paratum cum </w:t>
      </w:r>
      <w:r w:rsidR="00E17D6D">
        <w:t>E</w:t>
      </w:r>
      <w:r>
        <w:t xml:space="preserve">vuangelia et scuto et fuste eadem punna faciendum qualiter ipsa cartula falsa eset”. </w:t>
      </w:r>
      <w:r w:rsidRPr="0069577D">
        <w:rPr>
          <w:lang w:val="fr-FR"/>
        </w:rPr>
        <w:t>Cum ipse iam dicto Martinus taliter retulisset, et hec recordatus est domnus Radaldus patriarche et misus et aliquis de iam dictis iudices qui ibi aderant et predicto Vivencio advocato de predictis presbiteris et iam dicta ecclesia, ibi non venit, nec cum eodem Martino de iam dicta punna se non coniunsit taliter seperaverunt se inde. Et hac noticiam qualiter hacta est inde fieri admonuerunt. Quidem et ego Madelbertus notarius ex iusione superscriptis domni patriarche et marchio seu comiti et iudicum amonicione scripsi anno domnus Ottoni piisimi inperatoris hic in Italia undecimo et item Otto filio eius inperator quinto, sub die quarto de mense iulio, indicione quintadecima, feliciter.</w:t>
      </w:r>
      <w:r w:rsidR="00001BAD" w:rsidRPr="0069577D">
        <w:rPr>
          <w:lang w:val="fr-FR"/>
        </w:rPr>
        <w:t xml:space="preserve"> </w:t>
      </w:r>
      <w:r w:rsidRPr="0069577D">
        <w:rPr>
          <w:lang w:val="fr-FR"/>
        </w:rPr>
        <w:t>+ Ego Rodaldus patriarcha missus interfui.</w:t>
      </w:r>
      <w:r w:rsidR="00001BAD" w:rsidRPr="0069577D">
        <w:rPr>
          <w:lang w:val="fr-FR"/>
        </w:rPr>
        <w:t xml:space="preserve"> </w:t>
      </w:r>
      <w:r w:rsidRPr="0069577D">
        <w:rPr>
          <w:lang w:val="fr-FR"/>
        </w:rPr>
        <w:t>+ Gandul</w:t>
      </w:r>
      <w:r w:rsidR="00574AB8" w:rsidRPr="0069577D">
        <w:rPr>
          <w:lang w:val="fr-FR"/>
        </w:rPr>
        <w:t>[</w:t>
      </w:r>
      <w:r w:rsidRPr="0069577D">
        <w:rPr>
          <w:lang w:val="fr-FR"/>
        </w:rPr>
        <w:t>fu</w:t>
      </w:r>
      <w:r w:rsidR="00574AB8" w:rsidRPr="0069577D">
        <w:rPr>
          <w:lang w:val="fr-FR"/>
        </w:rPr>
        <w:t>]</w:t>
      </w:r>
      <w:r w:rsidRPr="0069577D">
        <w:rPr>
          <w:lang w:val="fr-FR"/>
        </w:rPr>
        <w:t>s comes interfui,</w:t>
      </w:r>
      <w:r w:rsidR="00001BAD" w:rsidRPr="0069577D">
        <w:rPr>
          <w:lang w:val="fr-FR"/>
        </w:rPr>
        <w:t xml:space="preserve"> </w:t>
      </w:r>
      <w:r w:rsidRPr="0069577D">
        <w:rPr>
          <w:lang w:val="fr-FR"/>
        </w:rPr>
        <w:t>+ Ego Arnaldus humilis episcopus in hanc noticiam manu mea subscripsi.</w:t>
      </w:r>
      <w:r w:rsidR="00001BAD" w:rsidRPr="0069577D">
        <w:rPr>
          <w:lang w:val="fr-FR"/>
        </w:rPr>
        <w:t xml:space="preserve"> </w:t>
      </w:r>
      <w:r w:rsidRPr="0069577D">
        <w:rPr>
          <w:lang w:val="fr-FR"/>
        </w:rPr>
        <w:t>+ Raimbaldus comes interfui.</w:t>
      </w:r>
      <w:r w:rsidR="00001BAD" w:rsidRPr="0069577D">
        <w:rPr>
          <w:lang w:val="fr-FR"/>
        </w:rPr>
        <w:t xml:space="preserve"> </w:t>
      </w:r>
      <w:r w:rsidRPr="0069577D">
        <w:rPr>
          <w:lang w:val="fr-FR"/>
        </w:rPr>
        <w:t>+ Ego Iohannes episcopus interfui.</w:t>
      </w:r>
      <w:r w:rsidR="00001BAD" w:rsidRPr="0069577D">
        <w:rPr>
          <w:lang w:val="fr-FR"/>
        </w:rPr>
        <w:t xml:space="preserve"> </w:t>
      </w:r>
      <w:r w:rsidRPr="0069577D">
        <w:rPr>
          <w:lang w:val="fr-FR"/>
        </w:rPr>
        <w:t>+ Rodulfus episcopus interfui</w:t>
      </w:r>
      <w:r w:rsidR="009B1496">
        <w:rPr>
          <w:rStyle w:val="Rimandonotadichiusura"/>
        </w:rPr>
        <w:endnoteReference w:id="13"/>
      </w:r>
      <w:r w:rsidRPr="0069577D">
        <w:rPr>
          <w:lang w:val="fr-FR"/>
        </w:rPr>
        <w:t>.</w:t>
      </w:r>
      <w:r w:rsidR="00001BAD" w:rsidRPr="0069577D">
        <w:rPr>
          <w:lang w:val="fr-FR"/>
        </w:rPr>
        <w:t xml:space="preserve"> </w:t>
      </w:r>
      <w:r w:rsidRPr="0069577D">
        <w:rPr>
          <w:lang w:val="fr-FR"/>
        </w:rPr>
        <w:t>+ Gauslinus episcopus interfui.</w:t>
      </w:r>
      <w:r w:rsidR="00001BAD" w:rsidRPr="0069577D">
        <w:rPr>
          <w:lang w:val="fr-FR"/>
        </w:rPr>
        <w:t xml:space="preserve"> </w:t>
      </w:r>
      <w:r w:rsidRPr="0069577D">
        <w:rPr>
          <w:lang w:val="fr-FR"/>
        </w:rPr>
        <w:t>+ [Ego Aquilinu</w:t>
      </w:r>
      <w:r w:rsidR="00843D22" w:rsidRPr="0069577D">
        <w:rPr>
          <w:lang w:val="fr-FR"/>
        </w:rPr>
        <w:t>s i</w:t>
      </w:r>
      <w:r w:rsidR="00E17D6D" w:rsidRPr="0069577D">
        <w:rPr>
          <w:lang w:val="fr-FR"/>
        </w:rPr>
        <w:t>ude]x sacri palatii interfui</w:t>
      </w:r>
      <w:r w:rsidR="00843D22" w:rsidRPr="0069577D">
        <w:rPr>
          <w:lang w:val="fr-FR"/>
        </w:rPr>
        <w:t>.</w:t>
      </w:r>
    </w:p>
    <w:p w14:paraId="196CF4CB" w14:textId="77777777" w:rsidR="00001BAD" w:rsidRPr="0069577D" w:rsidRDefault="00001BAD">
      <w:pPr>
        <w:suppressAutoHyphens w:val="0"/>
        <w:spacing w:after="200" w:line="276" w:lineRule="auto"/>
        <w:rPr>
          <w:lang w:val="fr-FR"/>
        </w:rPr>
      </w:pPr>
      <w:r w:rsidRPr="0069577D">
        <w:rPr>
          <w:lang w:val="fr-FR"/>
        </w:rPr>
        <w:br w:type="page"/>
      </w:r>
    </w:p>
    <w:p w14:paraId="03F7D49C" w14:textId="77777777" w:rsidR="00001BAD" w:rsidRPr="00001BAD" w:rsidRDefault="00001BAD" w:rsidP="00380261">
      <w:pPr>
        <w:jc w:val="both"/>
        <w:rPr>
          <w:lang w:val="en-US"/>
        </w:rPr>
      </w:pPr>
      <w:r>
        <w:rPr>
          <w:lang w:val="en-US"/>
        </w:rPr>
        <w:lastRenderedPageBreak/>
        <w:t>NOTE STORICHE</w:t>
      </w:r>
    </w:p>
    <w:sectPr w:rsidR="00001BAD" w:rsidRPr="00001BAD">
      <w:footnotePr>
        <w:numFmt w:val="lowerLetter"/>
      </w:footnotePr>
      <w:endnotePr>
        <w:numFmt w:val="decimal"/>
      </w:endnotePr>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842F12" w14:textId="77777777" w:rsidR="006F4918" w:rsidRDefault="006F4918" w:rsidP="002761A6">
      <w:r>
        <w:separator/>
      </w:r>
    </w:p>
  </w:endnote>
  <w:endnote w:type="continuationSeparator" w:id="0">
    <w:p w14:paraId="66367E3D" w14:textId="77777777" w:rsidR="006F4918" w:rsidRDefault="006F4918" w:rsidP="002761A6">
      <w:r>
        <w:continuationSeparator/>
      </w:r>
    </w:p>
  </w:endnote>
  <w:endnote w:id="1">
    <w:p w14:paraId="1F835097" w14:textId="77777777" w:rsidR="009B1496" w:rsidRPr="009B1496" w:rsidRDefault="009B1496" w:rsidP="00380261">
      <w:pPr>
        <w:pStyle w:val="Testonotadichiusura"/>
        <w:jc w:val="both"/>
      </w:pPr>
      <w:r>
        <w:rPr>
          <w:rStyle w:val="Rimandonotadichiusura"/>
        </w:rPr>
        <w:endnoteRef/>
      </w:r>
      <w:r>
        <w:t xml:space="preserve"> Per questo periodo, i patriarchi di Aquileia esercitano sempre il ruolo di </w:t>
      </w:r>
      <w:r>
        <w:rPr>
          <w:i/>
        </w:rPr>
        <w:t>missi</w:t>
      </w:r>
      <w:r>
        <w:t xml:space="preserve"> nel territorio di loro competenza (</w:t>
      </w:r>
      <w:r w:rsidRPr="009B1496">
        <w:rPr>
          <w:smallCaps/>
        </w:rPr>
        <w:t>Bougard</w:t>
      </w:r>
      <w:r>
        <w:t xml:space="preserve"> 1995, p. 303)</w:t>
      </w:r>
    </w:p>
  </w:endnote>
  <w:endnote w:id="2">
    <w:p w14:paraId="0BB76EF9" w14:textId="77777777" w:rsidR="002761A6" w:rsidRDefault="002761A6" w:rsidP="00380261">
      <w:pPr>
        <w:pStyle w:val="Testonotadichiusura"/>
        <w:jc w:val="both"/>
      </w:pPr>
      <w:r>
        <w:rPr>
          <w:rStyle w:val="Rimandonotadichiusura"/>
        </w:rPr>
        <w:endnoteRef/>
      </w:r>
      <w:r>
        <w:t xml:space="preserve"> Radoaldus (963-983) in </w:t>
      </w:r>
      <w:r w:rsidRPr="002761A6">
        <w:rPr>
          <w:smallCaps/>
        </w:rPr>
        <w:t>Gams</w:t>
      </w:r>
      <w:r>
        <w:t xml:space="preserve"> 1857, p. 773.</w:t>
      </w:r>
    </w:p>
  </w:endnote>
  <w:endnote w:id="3">
    <w:p w14:paraId="17291030" w14:textId="77777777" w:rsidR="002761A6" w:rsidRDefault="002761A6" w:rsidP="00380261">
      <w:pPr>
        <w:pStyle w:val="Testonotadichiusura"/>
        <w:jc w:val="both"/>
      </w:pPr>
      <w:r>
        <w:rPr>
          <w:rStyle w:val="Rimandonotadichiusura"/>
        </w:rPr>
        <w:endnoteRef/>
      </w:r>
      <w:r>
        <w:t xml:space="preserve"> Il conte Gandolfo, di origine piacentina</w:t>
      </w:r>
      <w:r w:rsidR="00001BAD">
        <w:t xml:space="preserve"> (era figlio di Riprando, conte di Piacenza: </w:t>
      </w:r>
      <w:r w:rsidR="00001BAD" w:rsidRPr="00001BAD">
        <w:rPr>
          <w:smallCaps/>
        </w:rPr>
        <w:t>Castagnetti</w:t>
      </w:r>
      <w:r w:rsidR="00001BAD">
        <w:t xml:space="preserve"> 1993, pp. 79-80)</w:t>
      </w:r>
      <w:r>
        <w:t>, appare per la prima volta nel 967</w:t>
      </w:r>
      <w:r w:rsidR="00DA44C2">
        <w:t>: il suo nome è elencato nel collegio giudicante di un placito tenutosi a Ravenna, con il quale si condannò un diacono che aveva imprigionato il vescovo ravennate e aveva rubato il tesoro dell’episcopio</w:t>
      </w:r>
      <w:r>
        <w:t xml:space="preserve"> (</w:t>
      </w:r>
      <w:r w:rsidRPr="00001BAD">
        <w:t>Manaresi, 155)</w:t>
      </w:r>
      <w:r w:rsidR="00DA44C2" w:rsidRPr="00001BAD">
        <w:t>.</w:t>
      </w:r>
      <w:r w:rsidR="00DA44C2">
        <w:t xml:space="preserve"> Alla fine dello stesso 967, Gandolfo fu probabilmente sostituito da Nannone, ma nel presente documento è ancora testimoniato come conte di Verona</w:t>
      </w:r>
      <w:r w:rsidR="00001BAD">
        <w:t>, carica che tenne forse fino al 978, anche se non continuativamente (CDP, I, 63)</w:t>
      </w:r>
      <w:r w:rsidR="00DA44C2">
        <w:t>. Il suo prestigio è provato dalla presenza di non meno di sei suoi vassi al medesimo processo (</w:t>
      </w:r>
      <w:r w:rsidR="00DA44C2" w:rsidRPr="00DA44C2">
        <w:rPr>
          <w:smallCaps/>
        </w:rPr>
        <w:t>Castagnetti</w:t>
      </w:r>
      <w:r w:rsidR="00DA44C2">
        <w:t xml:space="preserve"> 1989, p. 56).</w:t>
      </w:r>
    </w:p>
  </w:endnote>
  <w:endnote w:id="4">
    <w:p w14:paraId="1D5ED117" w14:textId="77777777" w:rsidR="00DA44C2" w:rsidRPr="00DA44C2" w:rsidRDefault="00DA44C2" w:rsidP="00380261">
      <w:pPr>
        <w:pStyle w:val="Testonotadichiusura"/>
        <w:jc w:val="both"/>
      </w:pPr>
      <w:r>
        <w:rPr>
          <w:rStyle w:val="Rimandonotadichiusura"/>
        </w:rPr>
        <w:endnoteRef/>
      </w:r>
      <w:r>
        <w:t xml:space="preserve"> Rambaldo è il primo conte di Treviso di epoca ottoniana che ci è noto. </w:t>
      </w:r>
      <w:r w:rsidRPr="00DA44C2">
        <w:rPr>
          <w:smallCaps/>
        </w:rPr>
        <w:t>Castagnetti</w:t>
      </w:r>
      <w:r>
        <w:t xml:space="preserve"> 1989, p. 59-60 lo identifica con il fedele di Berengario II cui nel 958-959 fu concessa la </w:t>
      </w:r>
      <w:r>
        <w:rPr>
          <w:i/>
        </w:rPr>
        <w:t xml:space="preserve">curtis </w:t>
      </w:r>
      <w:r>
        <w:t>di Lovadina, frazione di Spresiano (TV) (DD Berengario II e Adalberto, n. 12</w:t>
      </w:r>
      <w:r w:rsidR="00001BAD">
        <w:t xml:space="preserve">; </w:t>
      </w:r>
      <w:r w:rsidR="00001BAD" w:rsidRPr="00001BAD">
        <w:rPr>
          <w:smallCaps/>
        </w:rPr>
        <w:t>Castagnetti</w:t>
      </w:r>
      <w:r w:rsidR="00001BAD">
        <w:t xml:space="preserve"> 1993, pp. 80-81; </w:t>
      </w:r>
      <w:r w:rsidR="00001BAD" w:rsidRPr="00001BAD">
        <w:rPr>
          <w:smallCaps/>
        </w:rPr>
        <w:t>Castagnetti</w:t>
      </w:r>
      <w:r w:rsidR="00001BAD">
        <w:t xml:space="preserve"> 1996, p. 91</w:t>
      </w:r>
      <w:r>
        <w:t>). Ai suoi figli Ottone II confermò i possessi di famiglia, centrati sulle zone di Ceneda (TV), Sernaglia della Battaglia (TV) e Soligo (TV) (DD Ottonis II, 220). Probabilmente uno dei figli di Rambaldo, suo omonimo, divenne in seguito conte a sua volta.</w:t>
      </w:r>
      <w:r w:rsidR="00001BAD">
        <w:t xml:space="preserve"> La figura di Rambaldo è da Provero collegata a un fenomeno più generale per il Regno in questo periodo: egli sarebbe uno dei privilegiati personaggi che conseguirono carriere brillanti e cariche prestigiose per concessione regia (</w:t>
      </w:r>
      <w:r w:rsidR="00001BAD" w:rsidRPr="00001BAD">
        <w:rPr>
          <w:smallCaps/>
        </w:rPr>
        <w:t>Provero</w:t>
      </w:r>
      <w:r w:rsidR="00001BAD">
        <w:t xml:space="preserve"> 2003, p. 185).</w:t>
      </w:r>
      <w:r w:rsidR="0069577D">
        <w:t xml:space="preserve"> Su Ragimbaldo si veda </w:t>
      </w:r>
      <w:r w:rsidR="0069577D" w:rsidRPr="0069577D">
        <w:rPr>
          <w:smallCaps/>
        </w:rPr>
        <w:t>Ruzza</w:t>
      </w:r>
      <w:r w:rsidR="0069577D">
        <w:t xml:space="preserve"> 1998.</w:t>
      </w:r>
    </w:p>
  </w:endnote>
  <w:endnote w:id="5">
    <w:p w14:paraId="5988160D" w14:textId="77777777" w:rsidR="00F55D3C" w:rsidRDefault="00F55D3C" w:rsidP="00380261">
      <w:pPr>
        <w:pStyle w:val="Testonotadichiusura"/>
        <w:jc w:val="both"/>
      </w:pPr>
      <w:r>
        <w:rPr>
          <w:rStyle w:val="Rimandonotadichiusura"/>
        </w:rPr>
        <w:endnoteRef/>
      </w:r>
      <w:r>
        <w:t xml:space="preserve"> </w:t>
      </w:r>
      <w:r w:rsidR="004C779A">
        <w:t>Fu vescovo intruso dal 948 (eletto all’età di 18 anni) al 962; tornò poi sul seggio legittimamente dal 968 al 983 (</w:t>
      </w:r>
      <w:r w:rsidR="004C779A" w:rsidRPr="004C779A">
        <w:rPr>
          <w:smallCaps/>
        </w:rPr>
        <w:t>Gams</w:t>
      </w:r>
      <w:r w:rsidR="004C779A">
        <w:t xml:space="preserve"> 1857, p. 805)</w:t>
      </w:r>
    </w:p>
  </w:endnote>
  <w:endnote w:id="6">
    <w:p w14:paraId="54C2E17D" w14:textId="77777777" w:rsidR="004C779A" w:rsidRPr="004C779A" w:rsidRDefault="004C779A" w:rsidP="00380261">
      <w:pPr>
        <w:pStyle w:val="Testonotadichiusura"/>
        <w:jc w:val="both"/>
        <w:rPr>
          <w:lang w:val="en-US"/>
        </w:rPr>
      </w:pPr>
      <w:r>
        <w:rPr>
          <w:rStyle w:val="Rimandonotadichiusura"/>
        </w:rPr>
        <w:endnoteRef/>
      </w:r>
      <w:r w:rsidRPr="004C779A">
        <w:rPr>
          <w:lang w:val="en-US"/>
        </w:rPr>
        <w:t xml:space="preserve"> Gauslin (967-992) (</w:t>
      </w:r>
      <w:r w:rsidRPr="004C779A">
        <w:rPr>
          <w:smallCaps/>
          <w:lang w:val="en-US"/>
        </w:rPr>
        <w:t>Gams</w:t>
      </w:r>
      <w:r w:rsidRPr="004C779A">
        <w:rPr>
          <w:lang w:val="en-US"/>
        </w:rPr>
        <w:t xml:space="preserve"> 1857, p. 798).</w:t>
      </w:r>
    </w:p>
  </w:endnote>
  <w:endnote w:id="7">
    <w:p w14:paraId="53516069" w14:textId="77777777" w:rsidR="004C779A" w:rsidRPr="00001BAD" w:rsidRDefault="004C779A" w:rsidP="00380261">
      <w:pPr>
        <w:pStyle w:val="Testonotadichiusura"/>
        <w:jc w:val="both"/>
      </w:pPr>
      <w:r>
        <w:rPr>
          <w:rStyle w:val="Rimandonotadichiusura"/>
        </w:rPr>
        <w:endnoteRef/>
      </w:r>
      <w:r w:rsidRPr="00F05EDE">
        <w:rPr>
          <w:lang w:val="en-US"/>
        </w:rPr>
        <w:t xml:space="preserve"> Johannes II (959-998) (</w:t>
      </w:r>
      <w:r w:rsidRPr="00F05EDE">
        <w:rPr>
          <w:smallCaps/>
          <w:lang w:val="en-US"/>
        </w:rPr>
        <w:t>Gams 1857</w:t>
      </w:r>
      <w:r w:rsidRPr="00F05EDE">
        <w:rPr>
          <w:lang w:val="en-US"/>
        </w:rPr>
        <w:t>, p. 776).</w:t>
      </w:r>
      <w:r w:rsidR="00001BAD" w:rsidRPr="00F05EDE">
        <w:rPr>
          <w:lang w:val="en-US"/>
        </w:rPr>
        <w:t xml:space="preserve"> </w:t>
      </w:r>
      <w:r w:rsidR="00001BAD" w:rsidRPr="00001BAD">
        <w:t xml:space="preserve">Fu protagonista di una </w:t>
      </w:r>
      <w:r w:rsidR="00001BAD">
        <w:t xml:space="preserve">travagliata vicenda: si vedano </w:t>
      </w:r>
      <w:r w:rsidR="00001BAD" w:rsidRPr="00AB3BC9">
        <w:rPr>
          <w:u w:val="single"/>
        </w:rPr>
        <w:t>Veneto</w:t>
      </w:r>
      <w:r w:rsidR="008A5FC2">
        <w:rPr>
          <w:u w:val="single"/>
        </w:rPr>
        <w:t xml:space="preserve"> 13</w:t>
      </w:r>
      <w:r w:rsidR="00AB3BC9">
        <w:t xml:space="preserve">; </w:t>
      </w:r>
      <w:r w:rsidR="008A5FC2">
        <w:rPr>
          <w:u w:val="single"/>
        </w:rPr>
        <w:t>Veneto 16</w:t>
      </w:r>
      <w:r w:rsidR="00AB3BC9">
        <w:t xml:space="preserve">; </w:t>
      </w:r>
      <w:r w:rsidR="008A5FC2">
        <w:rPr>
          <w:u w:val="single"/>
        </w:rPr>
        <w:t>Veneto 17</w:t>
      </w:r>
      <w:r w:rsidR="00AB3BC9">
        <w:t>.</w:t>
      </w:r>
    </w:p>
  </w:endnote>
  <w:endnote w:id="8">
    <w:p w14:paraId="73EC7A7A" w14:textId="77777777" w:rsidR="004C779A" w:rsidRDefault="004C779A" w:rsidP="00380261">
      <w:pPr>
        <w:pStyle w:val="Testonotadichiusura"/>
        <w:jc w:val="both"/>
      </w:pPr>
      <w:r>
        <w:rPr>
          <w:rStyle w:val="Rimandonotadichiusura"/>
        </w:rPr>
        <w:endnoteRef/>
      </w:r>
      <w:r>
        <w:t xml:space="preserve"> Rudolfus (</w:t>
      </w:r>
      <w:r w:rsidRPr="004C779A">
        <w:t>967-974</w:t>
      </w:r>
      <w:r>
        <w:t>)</w:t>
      </w:r>
      <w:r w:rsidRPr="004C779A">
        <w:t xml:space="preserve"> </w:t>
      </w:r>
      <w:r>
        <w:t>(</w:t>
      </w:r>
      <w:r w:rsidRPr="004C779A">
        <w:rPr>
          <w:smallCaps/>
        </w:rPr>
        <w:t>Gams</w:t>
      </w:r>
      <w:r>
        <w:t xml:space="preserve"> 1857</w:t>
      </w:r>
      <w:r w:rsidRPr="004C779A">
        <w:t>, p. 807</w:t>
      </w:r>
      <w:r>
        <w:t>).</w:t>
      </w:r>
    </w:p>
  </w:endnote>
  <w:endnote w:id="9">
    <w:p w14:paraId="52238E75" w14:textId="77777777" w:rsidR="006C7058" w:rsidRDefault="006C7058" w:rsidP="00380261">
      <w:pPr>
        <w:pStyle w:val="Testonotadichiusura"/>
        <w:jc w:val="both"/>
      </w:pPr>
      <w:r>
        <w:rPr>
          <w:rStyle w:val="Rimandonotadichiusura"/>
        </w:rPr>
        <w:endnoteRef/>
      </w:r>
      <w:r>
        <w:t xml:space="preserve"> Andreas </w:t>
      </w:r>
      <w:r w:rsidR="00380261">
        <w:t>è testimoniato a Bergamo nel 938</w:t>
      </w:r>
      <w:r>
        <w:t>;</w:t>
      </w:r>
      <w:r w:rsidR="00380261">
        <w:t xml:space="preserve"> fu</w:t>
      </w:r>
      <w:r>
        <w:t xml:space="preserve"> a Pisa nel 941, quando Ugo e Lotario re investirono il vescovo di Lucca Corrado di alcuni beni che gli erano stati contestati da Imilga e dal di lei figlio Roffredo (</w:t>
      </w:r>
      <w:r w:rsidRPr="00F05EDE">
        <w:t>Manaresi, 140</w:t>
      </w:r>
      <w:r>
        <w:t>); fu a Lucca nel medesimo anno, dove giudicò per un’altra investitura a beneficio dello stesso vescovo Corrado, questa volta contro le pretese di Giovanni (</w:t>
      </w:r>
      <w:r w:rsidRPr="00F05EDE">
        <w:t>Manaresi, 141</w:t>
      </w:r>
      <w:r>
        <w:t xml:space="preserve">); ancora </w:t>
      </w:r>
      <w:r w:rsidR="00380261">
        <w:t>nel 941 era Bergamo e a Claudiano</w:t>
      </w:r>
      <w:r>
        <w:t>;</w:t>
      </w:r>
      <w:r w:rsidR="00864837">
        <w:t xml:space="preserve"> è testimoniato</w:t>
      </w:r>
      <w:r>
        <w:t xml:space="preserve"> </w:t>
      </w:r>
      <w:r w:rsidR="00380261">
        <w:t>dal</w:t>
      </w:r>
      <w:r w:rsidR="009D7652">
        <w:t xml:space="preserve"> 947 </w:t>
      </w:r>
      <w:r w:rsidR="00380261">
        <w:t>al 960 tra Milano e Bergamo</w:t>
      </w:r>
      <w:r w:rsidR="009D7652">
        <w:t>; nel 962 a Mosezzo</w:t>
      </w:r>
      <w:r w:rsidR="00DF56D9">
        <w:t xml:space="preserve"> confermava a Guntilda moglie di Amedeo vasso dell’imperatore una proprietà a Mosezzo, che gli era stata venduta da Egelrico</w:t>
      </w:r>
      <w:r w:rsidR="009D7652">
        <w:t xml:space="preserve"> (</w:t>
      </w:r>
      <w:r w:rsidR="009D7652" w:rsidRPr="00F05EDE">
        <w:t>Manaresi</w:t>
      </w:r>
      <w:r w:rsidR="00DF56D9" w:rsidRPr="00F05EDE">
        <w:t>,</w:t>
      </w:r>
      <w:r w:rsidR="009D7652" w:rsidRPr="00F05EDE">
        <w:t xml:space="preserve"> 147</w:t>
      </w:r>
      <w:r w:rsidR="009D7652">
        <w:t>); nello stesso anno a Caravaggio</w:t>
      </w:r>
      <w:r w:rsidR="00DF56D9">
        <w:t xml:space="preserve"> giudicò in favore del prete Luvaldo che difendeva la proprietà di un massarizio contro Paolo</w:t>
      </w:r>
      <w:r w:rsidR="009D7652">
        <w:t xml:space="preserve"> (</w:t>
      </w:r>
      <w:r w:rsidR="009D7652" w:rsidRPr="00F05EDE">
        <w:t>Manaresi</w:t>
      </w:r>
      <w:r w:rsidR="00DF56D9" w:rsidRPr="00F05EDE">
        <w:t>,</w:t>
      </w:r>
      <w:r w:rsidR="009D7652" w:rsidRPr="00F05EDE">
        <w:t xml:space="preserve"> 150</w:t>
      </w:r>
      <w:r w:rsidR="009D7652">
        <w:t>); nel 964 a Lucca</w:t>
      </w:r>
      <w:r w:rsidR="00DF56D9">
        <w:t xml:space="preserve"> confermò un diploma dell’imperatore Ottone I a Ermenaldo vescovo di Reggio</w:t>
      </w:r>
      <w:r w:rsidR="009D7652">
        <w:t xml:space="preserve"> (</w:t>
      </w:r>
      <w:r w:rsidR="009D7652" w:rsidRPr="00F05EDE">
        <w:t>Manaresi</w:t>
      </w:r>
      <w:r w:rsidR="00DF56D9" w:rsidRPr="00F05EDE">
        <w:t>,</w:t>
      </w:r>
      <w:r w:rsidR="009D7652" w:rsidRPr="00F05EDE">
        <w:t xml:space="preserve"> 152</w:t>
      </w:r>
      <w:r w:rsidR="009D7652">
        <w:t xml:space="preserve">); </w:t>
      </w:r>
      <w:r w:rsidR="00380261">
        <w:t>tra</w:t>
      </w:r>
      <w:r w:rsidR="009D7652">
        <w:t xml:space="preserve"> 966</w:t>
      </w:r>
      <w:r w:rsidR="00864837">
        <w:t xml:space="preserve"> </w:t>
      </w:r>
      <w:r w:rsidR="00380261">
        <w:t xml:space="preserve">il 967 </w:t>
      </w:r>
      <w:r w:rsidR="00864837">
        <w:t xml:space="preserve">fu </w:t>
      </w:r>
      <w:r w:rsidR="009D7652">
        <w:t>a Milano; nello stesso 967 a Monte Veltraio</w:t>
      </w:r>
      <w:r w:rsidR="00DF56D9">
        <w:t xml:space="preserve"> confermò, alla presenza di Ottone I, a Pietro abate di Arezzo il possesso di alcuni beni</w:t>
      </w:r>
      <w:r w:rsidR="009D7652">
        <w:t xml:space="preserve"> (</w:t>
      </w:r>
      <w:r w:rsidR="009D7652" w:rsidRPr="00F05EDE">
        <w:t>Manaresi</w:t>
      </w:r>
      <w:r w:rsidR="00DF56D9" w:rsidRPr="00F05EDE">
        <w:t>,</w:t>
      </w:r>
      <w:r w:rsidR="009D7652" w:rsidRPr="00F05EDE">
        <w:t xml:space="preserve"> 156</w:t>
      </w:r>
      <w:r w:rsidR="009D7652">
        <w:t>); ancora nel 967 a Pavia</w:t>
      </w:r>
      <w:r w:rsidR="008E6E67">
        <w:t xml:space="preserve"> confermò la compravendita di alcuni territori pavesi, che passarono al monastero da poco istituito da Maiolo abate di Cluny</w:t>
      </w:r>
      <w:r w:rsidR="009D7652">
        <w:t xml:space="preserve"> (</w:t>
      </w:r>
      <w:r w:rsidR="009D7652" w:rsidRPr="00F05EDE">
        <w:t>Manaresi</w:t>
      </w:r>
      <w:r w:rsidR="008E6E67" w:rsidRPr="00F05EDE">
        <w:t>,</w:t>
      </w:r>
      <w:r w:rsidR="009D7652" w:rsidRPr="00F05EDE">
        <w:t xml:space="preserve"> 158</w:t>
      </w:r>
      <w:r w:rsidR="009D7652">
        <w:t>); nel 970</w:t>
      </w:r>
      <w:r w:rsidR="00864837">
        <w:t xml:space="preserve"> è testimoniato</w:t>
      </w:r>
      <w:r w:rsidR="009D7652">
        <w:t xml:space="preserve"> </w:t>
      </w:r>
      <w:r w:rsidR="00380261">
        <w:t xml:space="preserve">ancora </w:t>
      </w:r>
      <w:r w:rsidR="009D7652">
        <w:t>a Milano; nel 972 a Milano</w:t>
      </w:r>
      <w:r w:rsidR="008E6E67">
        <w:t xml:space="preserve"> giudicò per l’investitura di alcuni beni a beneficio di Lupo giudice</w:t>
      </w:r>
      <w:r w:rsidR="009D7652">
        <w:t xml:space="preserve"> (</w:t>
      </w:r>
      <w:r w:rsidR="009D7652" w:rsidRPr="00F05EDE">
        <w:t>Manaresi</w:t>
      </w:r>
      <w:r w:rsidR="008E6E67" w:rsidRPr="00F05EDE">
        <w:t>,</w:t>
      </w:r>
      <w:r w:rsidR="009D7652" w:rsidRPr="00F05EDE">
        <w:t xml:space="preserve"> 171</w:t>
      </w:r>
      <w:r w:rsidR="00380261">
        <w:t>)</w:t>
      </w:r>
      <w:r w:rsidR="009D7652">
        <w:t>; nel 974 a Pavia</w:t>
      </w:r>
      <w:r w:rsidR="008E6E67">
        <w:t xml:space="preserve"> confermò la permuta che era avvenuta tra Leo arciprete e Giovanni abate di san Pietro in Ciel d’Oro</w:t>
      </w:r>
      <w:r w:rsidR="009D7652">
        <w:t xml:space="preserve"> (</w:t>
      </w:r>
      <w:r w:rsidR="009D7652" w:rsidRPr="00F05EDE">
        <w:t>Manaresi</w:t>
      </w:r>
      <w:r w:rsidR="008E6E67" w:rsidRPr="00F05EDE">
        <w:t>,</w:t>
      </w:r>
      <w:r w:rsidR="009D7652" w:rsidRPr="00F05EDE">
        <w:t xml:space="preserve"> 173); </w:t>
      </w:r>
      <w:r w:rsidR="009D7652">
        <w:t>nel 976 a Brescia</w:t>
      </w:r>
      <w:r w:rsidR="008E6E67">
        <w:t xml:space="preserve"> giudicò a favore della canonica di S. Maria e S. Giorgio di Verona</w:t>
      </w:r>
      <w:r w:rsidR="009D7652">
        <w:t xml:space="preserve"> (</w:t>
      </w:r>
      <w:r w:rsidR="009D7652" w:rsidRPr="00F05EDE">
        <w:t>Manaresi</w:t>
      </w:r>
      <w:r w:rsidR="008E6E67" w:rsidRPr="00F05EDE">
        <w:t>,</w:t>
      </w:r>
      <w:r w:rsidR="009D7652" w:rsidRPr="00F05EDE">
        <w:t xml:space="preserve"> 175</w:t>
      </w:r>
      <w:r w:rsidR="009D7652">
        <w:t>); nello stesso anno a Pavia</w:t>
      </w:r>
      <w:r w:rsidR="008E6E67">
        <w:t xml:space="preserve"> giudicò in favore dei due coniugi Romaldo ed Ermengarda per una porzione del castello di Maleo</w:t>
      </w:r>
      <w:r w:rsidR="009D7652">
        <w:t xml:space="preserve"> (</w:t>
      </w:r>
      <w:r w:rsidR="009D7652" w:rsidRPr="00F05EDE">
        <w:t>Manaresi</w:t>
      </w:r>
      <w:r w:rsidR="008E6E67" w:rsidRPr="00F05EDE">
        <w:t>,</w:t>
      </w:r>
      <w:r w:rsidR="009D7652" w:rsidRPr="00F05EDE">
        <w:t xml:space="preserve"> 180</w:t>
      </w:r>
      <w:r w:rsidR="009D7652">
        <w:t>); ancora nel 976 a Piacenza</w:t>
      </w:r>
      <w:r w:rsidR="00A9517E">
        <w:t xml:space="preserve"> giudicò</w:t>
      </w:r>
      <w:r w:rsidR="00F05EDE">
        <w:t xml:space="preserve"> in un placito in cui Waldrada</w:t>
      </w:r>
      <w:r w:rsidR="00A9517E">
        <w:t xml:space="preserve"> vedova di Pietro Candiano doge dichiarava di non contrastare le proprietà di Pietro Orseolo</w:t>
      </w:r>
      <w:r w:rsidR="009D7652">
        <w:t xml:space="preserve"> (</w:t>
      </w:r>
      <w:r w:rsidR="00F05EDE">
        <w:rPr>
          <w:u w:val="single"/>
        </w:rPr>
        <w:t>Veneto 9</w:t>
      </w:r>
      <w:r w:rsidR="009D7652">
        <w:t>)</w:t>
      </w:r>
      <w:r w:rsidR="00DF56D9">
        <w:t>; nel 981 a Pavia</w:t>
      </w:r>
      <w:r w:rsidR="00A9517E">
        <w:t xml:space="preserve"> giudicò a favore di Giovanni giudice contro le pretese di Riccardo</w:t>
      </w:r>
      <w:r w:rsidR="00DF56D9">
        <w:t xml:space="preserve"> (</w:t>
      </w:r>
      <w:r w:rsidR="00DF56D9" w:rsidRPr="00F05EDE">
        <w:t>Manaresi</w:t>
      </w:r>
      <w:r w:rsidR="00A9517E" w:rsidRPr="00F05EDE">
        <w:t>,</w:t>
      </w:r>
      <w:r w:rsidR="00DF56D9" w:rsidRPr="00F05EDE">
        <w:t xml:space="preserve"> 196</w:t>
      </w:r>
      <w:r w:rsidR="00DF56D9">
        <w:t>); ancora a Pavia nel 983</w:t>
      </w:r>
      <w:r w:rsidR="00A9517E">
        <w:t xml:space="preserve"> confermò l’unione tra la diocesi di Alba e quella di Asti</w:t>
      </w:r>
      <w:r w:rsidR="00DF56D9">
        <w:t xml:space="preserve"> (</w:t>
      </w:r>
      <w:r w:rsidR="00DF56D9" w:rsidRPr="00F05EDE">
        <w:t>Manaresi</w:t>
      </w:r>
      <w:r w:rsidR="00A9517E" w:rsidRPr="00F05EDE">
        <w:t>,</w:t>
      </w:r>
      <w:r w:rsidR="00DF56D9" w:rsidRPr="00F05EDE">
        <w:t xml:space="preserve"> 206</w:t>
      </w:r>
      <w:r w:rsidR="00A9517E">
        <w:t>) (</w:t>
      </w:r>
      <w:r w:rsidR="00A9517E" w:rsidRPr="00A9517E">
        <w:rPr>
          <w:smallCaps/>
        </w:rPr>
        <w:t>Radding</w:t>
      </w:r>
      <w:r w:rsidR="00A9517E">
        <w:t xml:space="preserve"> 1988, p. 238).</w:t>
      </w:r>
    </w:p>
  </w:endnote>
  <w:endnote w:id="10">
    <w:p w14:paraId="391D0D53" w14:textId="77777777" w:rsidR="00886BF3" w:rsidRPr="00886BF3" w:rsidRDefault="00886BF3" w:rsidP="00380261">
      <w:pPr>
        <w:pStyle w:val="Testonotadichiusura"/>
        <w:jc w:val="both"/>
      </w:pPr>
      <w:r>
        <w:rPr>
          <w:rStyle w:val="Rimandonotadichiusura"/>
        </w:rPr>
        <w:endnoteRef/>
      </w:r>
      <w:r>
        <w:t xml:space="preserve"> Amelgauso divenne in seguito giudice. Cadulus ed Ermario erano forse legati alla famiglia degli Erzoni: questa famiglia di </w:t>
      </w:r>
      <w:r>
        <w:rPr>
          <w:i/>
        </w:rPr>
        <w:t>milites</w:t>
      </w:r>
      <w:r>
        <w:t xml:space="preserve">, di origini piacentine, si radicò poi tra Vicenza, Padova e Verona; da essa, secondo </w:t>
      </w:r>
      <w:r w:rsidRPr="00886BF3">
        <w:rPr>
          <w:smallCaps/>
        </w:rPr>
        <w:t>Varanini</w:t>
      </w:r>
      <w:r>
        <w:t xml:space="preserve"> 198</w:t>
      </w:r>
      <w:r w:rsidR="0003036A">
        <w:t>9</w:t>
      </w:r>
      <w:r>
        <w:t>, pp.</w:t>
      </w:r>
      <w:r w:rsidR="002A229B">
        <w:t xml:space="preserve"> 216-217</w:t>
      </w:r>
      <w:r>
        <w:t xml:space="preserve"> (cui si rimanda per riferimenti e bibliografia) nacque Cadalo che fu antipapa tra il 1045 e il 1071</w:t>
      </w:r>
      <w:r w:rsidR="00001BAD">
        <w:t xml:space="preserve"> (si veda anche </w:t>
      </w:r>
      <w:r w:rsidR="00001BAD" w:rsidRPr="00001BAD">
        <w:rPr>
          <w:smallCaps/>
        </w:rPr>
        <w:t>Castagnetti</w:t>
      </w:r>
      <w:r w:rsidR="00001BAD">
        <w:t xml:space="preserve"> 1988a p. 31)</w:t>
      </w:r>
      <w:r>
        <w:t>.</w:t>
      </w:r>
      <w:r w:rsidR="002A229B">
        <w:t xml:space="preserve"> Turesindo è definito vasso del vescovo di Verona Milone in un documento di permuta del </w:t>
      </w:r>
      <w:r w:rsidR="0003036A">
        <w:t>969, in cui figura ancora accanto a Ermario</w:t>
      </w:r>
      <w:r w:rsidR="002A229B">
        <w:t xml:space="preserve">; il padre di Turesindo, Norpaldo, era di origine trentina. </w:t>
      </w:r>
    </w:p>
  </w:endnote>
  <w:endnote w:id="11">
    <w:p w14:paraId="2A94F56E" w14:textId="77777777" w:rsidR="002A229B" w:rsidRDefault="002A229B" w:rsidP="00380261">
      <w:pPr>
        <w:pStyle w:val="Testonotadichiusura"/>
        <w:jc w:val="both"/>
      </w:pPr>
      <w:r>
        <w:rPr>
          <w:rStyle w:val="Rimandonotadichiusura"/>
        </w:rPr>
        <w:endnoteRef/>
      </w:r>
      <w:r>
        <w:t xml:space="preserve"> Nei documenti pubblici, il termine “iudicaria” riferito al territorio gardense non compare prima del 1037; questa eccezione è probabilmente spiegabile con la ripresa della terminologia tratta da un testamento privato (</w:t>
      </w:r>
      <w:r w:rsidRPr="002A229B">
        <w:rPr>
          <w:smallCaps/>
        </w:rPr>
        <w:t>Brugnoli</w:t>
      </w:r>
      <w:r>
        <w:t xml:space="preserve"> 2010, p. 148)</w:t>
      </w:r>
    </w:p>
  </w:endnote>
  <w:endnote w:id="12">
    <w:p w14:paraId="2F98535B" w14:textId="77777777" w:rsidR="009B1496" w:rsidRPr="00A70E74" w:rsidRDefault="009B1496" w:rsidP="00380261">
      <w:pPr>
        <w:pStyle w:val="Testonotadichiusura"/>
        <w:jc w:val="both"/>
      </w:pPr>
      <w:r>
        <w:rPr>
          <w:rStyle w:val="Rimandonotadichiusura"/>
        </w:rPr>
        <w:endnoteRef/>
      </w:r>
      <w:r>
        <w:t xml:space="preserve"> </w:t>
      </w:r>
      <w:r w:rsidR="00A70E74">
        <w:t xml:space="preserve">Si tratta di una prescrizione del 967 (MGH, </w:t>
      </w:r>
      <w:r w:rsidR="00A70E74">
        <w:rPr>
          <w:i/>
        </w:rPr>
        <w:t>Constitutiones</w:t>
      </w:r>
      <w:r w:rsidR="00A70E74">
        <w:t xml:space="preserve">, I, 13: </w:t>
      </w:r>
      <w:r w:rsidR="00A70E74">
        <w:rPr>
          <w:i/>
        </w:rPr>
        <w:t>Capitulare veronense de duello iudicali</w:t>
      </w:r>
      <w:r w:rsidR="00A70E74">
        <w:t>) con la quale Ottone I aveva reso principio generale il ricorso al duello per porre un freno all’uso smodato del giuramento; quello testimoniato nel presente documento è il primo caso noto dopo la promulgazione della legge (</w:t>
      </w:r>
      <w:r w:rsidR="00A70E74" w:rsidRPr="00A70E74">
        <w:rPr>
          <w:smallCaps/>
        </w:rPr>
        <w:t>Bougard</w:t>
      </w:r>
      <w:r w:rsidR="00A70E74">
        <w:t xml:space="preserve"> 1995, p. 336) </w:t>
      </w:r>
    </w:p>
  </w:endnote>
  <w:endnote w:id="13">
    <w:p w14:paraId="01C28E19" w14:textId="77777777" w:rsidR="009B1496" w:rsidRDefault="009B1496" w:rsidP="00380261">
      <w:pPr>
        <w:pStyle w:val="Testonotadichiusura"/>
        <w:jc w:val="both"/>
      </w:pPr>
      <w:r>
        <w:rPr>
          <w:rStyle w:val="Rimandonotadichiusura"/>
        </w:rPr>
        <w:endnoteRef/>
      </w:r>
      <w:r>
        <w:t xml:space="preserve"> La sottoscrizione del vescovo Rodolfo è citata da </w:t>
      </w:r>
      <w:r w:rsidRPr="009B1496">
        <w:rPr>
          <w:smallCaps/>
        </w:rPr>
        <w:t>Petrucci-Romeo</w:t>
      </w:r>
      <w:r>
        <w:t xml:space="preserve"> 1992, pp. 119-120 come esempio di scrittura di livello elevato.</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A41560" w14:textId="77777777" w:rsidR="006F4918" w:rsidRDefault="006F4918" w:rsidP="002761A6">
      <w:r>
        <w:separator/>
      </w:r>
    </w:p>
  </w:footnote>
  <w:footnote w:type="continuationSeparator" w:id="0">
    <w:p w14:paraId="0BAC42C2" w14:textId="77777777" w:rsidR="006F4918" w:rsidRDefault="006F4918" w:rsidP="002761A6">
      <w:r>
        <w:continuationSeparator/>
      </w:r>
    </w:p>
  </w:footnote>
  <w:footnote w:id="1">
    <w:p w14:paraId="5AF221A4" w14:textId="77777777" w:rsidR="002A229B" w:rsidRDefault="002A229B">
      <w:pPr>
        <w:pStyle w:val="Testonotaapidipagina"/>
      </w:pPr>
      <w:r>
        <w:rPr>
          <w:rStyle w:val="Rimandonotaapidipagina"/>
        </w:rPr>
        <w:footnoteRef/>
      </w:r>
      <w:r>
        <w:t xml:space="preserve"> </w:t>
      </w:r>
      <w:r w:rsidR="008A5FC2">
        <w:rPr>
          <w:i/>
        </w:rPr>
        <w:t xml:space="preserve">In Manaresi precede </w:t>
      </w:r>
      <w:r w:rsidRPr="008A5FC2">
        <w:t>una</w:t>
      </w:r>
      <w:r w:rsidRPr="008A5FC2">
        <w:rPr>
          <w:i/>
        </w:rPr>
        <w:t>.</w:t>
      </w:r>
    </w:p>
  </w:footnote>
  <w:footnote w:id="2">
    <w:p w14:paraId="16016733" w14:textId="77777777" w:rsidR="002A229B" w:rsidRDefault="002A229B">
      <w:pPr>
        <w:pStyle w:val="Testonotaapidipagina"/>
      </w:pPr>
      <w:r>
        <w:rPr>
          <w:rStyle w:val="Rimandonotaapidipagina"/>
        </w:rPr>
        <w:footnoteRef/>
      </w:r>
      <w:r>
        <w:t xml:space="preserve"> </w:t>
      </w:r>
      <w:r w:rsidR="008A5FC2">
        <w:rPr>
          <w:i/>
        </w:rPr>
        <w:t xml:space="preserve">In Manaresi </w:t>
      </w:r>
      <w:r w:rsidRPr="008A5FC2">
        <w:t>abvocatus</w:t>
      </w:r>
      <w:r w:rsidRPr="008A5FC2">
        <w:rPr>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283"/>
  <w:characterSpacingControl w:val="doNotCompress"/>
  <w:footnotePr>
    <w:numFmt w:val="lowerLette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0AD"/>
    <w:rsid w:val="00001BAD"/>
    <w:rsid w:val="00013182"/>
    <w:rsid w:val="0003036A"/>
    <w:rsid w:val="0005200A"/>
    <w:rsid w:val="00052B74"/>
    <w:rsid w:val="000D215D"/>
    <w:rsid w:val="000E47D0"/>
    <w:rsid w:val="001000AD"/>
    <w:rsid w:val="001969C6"/>
    <w:rsid w:val="001A1E09"/>
    <w:rsid w:val="001D2EAB"/>
    <w:rsid w:val="00245EC0"/>
    <w:rsid w:val="002524E0"/>
    <w:rsid w:val="002761A6"/>
    <w:rsid w:val="00293713"/>
    <w:rsid w:val="002A229B"/>
    <w:rsid w:val="002E11C1"/>
    <w:rsid w:val="002F61BD"/>
    <w:rsid w:val="00352C98"/>
    <w:rsid w:val="0037691B"/>
    <w:rsid w:val="00380261"/>
    <w:rsid w:val="00446530"/>
    <w:rsid w:val="004B7FC1"/>
    <w:rsid w:val="004C779A"/>
    <w:rsid w:val="004E427C"/>
    <w:rsid w:val="00531E44"/>
    <w:rsid w:val="00557A6F"/>
    <w:rsid w:val="00574AB8"/>
    <w:rsid w:val="00587020"/>
    <w:rsid w:val="00653ED8"/>
    <w:rsid w:val="0069577D"/>
    <w:rsid w:val="006C7058"/>
    <w:rsid w:val="006E6282"/>
    <w:rsid w:val="006F4918"/>
    <w:rsid w:val="00763060"/>
    <w:rsid w:val="007A2D95"/>
    <w:rsid w:val="007C0523"/>
    <w:rsid w:val="007D31E7"/>
    <w:rsid w:val="007D74F7"/>
    <w:rsid w:val="007E1661"/>
    <w:rsid w:val="008356ED"/>
    <w:rsid w:val="00843D22"/>
    <w:rsid w:val="00864837"/>
    <w:rsid w:val="00883B76"/>
    <w:rsid w:val="00886BF3"/>
    <w:rsid w:val="008A5FC2"/>
    <w:rsid w:val="008B7A76"/>
    <w:rsid w:val="008E54B6"/>
    <w:rsid w:val="008E6E67"/>
    <w:rsid w:val="00955F2D"/>
    <w:rsid w:val="00983547"/>
    <w:rsid w:val="009B1496"/>
    <w:rsid w:val="009B2F1E"/>
    <w:rsid w:val="009B7C33"/>
    <w:rsid w:val="009D7652"/>
    <w:rsid w:val="009E1180"/>
    <w:rsid w:val="00A70E74"/>
    <w:rsid w:val="00A91743"/>
    <w:rsid w:val="00A9517E"/>
    <w:rsid w:val="00AB3BC9"/>
    <w:rsid w:val="00AE2024"/>
    <w:rsid w:val="00B272B4"/>
    <w:rsid w:val="00B6506A"/>
    <w:rsid w:val="00C034F2"/>
    <w:rsid w:val="00CB3B72"/>
    <w:rsid w:val="00CC6E5D"/>
    <w:rsid w:val="00D41AA0"/>
    <w:rsid w:val="00D732F5"/>
    <w:rsid w:val="00DA44C2"/>
    <w:rsid w:val="00DE0D32"/>
    <w:rsid w:val="00DF56D9"/>
    <w:rsid w:val="00E17D6D"/>
    <w:rsid w:val="00F05EDE"/>
    <w:rsid w:val="00F55D3C"/>
    <w:rsid w:val="00F61C6A"/>
    <w:rsid w:val="00F653A5"/>
    <w:rsid w:val="00F707AD"/>
    <w:rsid w:val="00F712F1"/>
    <w:rsid w:val="00F80DF6"/>
    <w:rsid w:val="00FC6EC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D90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2F1E"/>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2761A6"/>
    <w:rPr>
      <w:sz w:val="20"/>
      <w:szCs w:val="20"/>
    </w:rPr>
  </w:style>
  <w:style w:type="character" w:customStyle="1" w:styleId="TestonotadichiusuraCarattere">
    <w:name w:val="Testo nota di chiusura Carattere"/>
    <w:basedOn w:val="Caratterepredefinitoparagrafo"/>
    <w:link w:val="Testonotadichiusura"/>
    <w:uiPriority w:val="99"/>
    <w:semiHidden/>
    <w:rsid w:val="002761A6"/>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2761A6"/>
    <w:rPr>
      <w:vertAlign w:val="superscript"/>
    </w:rPr>
  </w:style>
  <w:style w:type="paragraph" w:styleId="Testonotaapidipagina">
    <w:name w:val="footnote text"/>
    <w:basedOn w:val="Normale"/>
    <w:link w:val="TestonotaapidipaginaCarattere"/>
    <w:uiPriority w:val="99"/>
    <w:semiHidden/>
    <w:unhideWhenUsed/>
    <w:rsid w:val="002A229B"/>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2A229B"/>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2A229B"/>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9B2F1E"/>
    <w:pPr>
      <w:suppressAutoHyphens/>
      <w:spacing w:after="0" w:line="240" w:lineRule="auto"/>
    </w:pPr>
    <w:rPr>
      <w:rFonts w:ascii="Times New Roman" w:eastAsia="Times New Roman" w:hAnsi="Times New Roman" w:cs="Times New Roman"/>
      <w:sz w:val="24"/>
      <w:szCs w:val="24"/>
      <w:lang w:eastAsia="ar-SA"/>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dichiusura">
    <w:name w:val="endnote text"/>
    <w:basedOn w:val="Normale"/>
    <w:link w:val="TestonotadichiusuraCarattere"/>
    <w:uiPriority w:val="99"/>
    <w:semiHidden/>
    <w:unhideWhenUsed/>
    <w:rsid w:val="002761A6"/>
    <w:rPr>
      <w:sz w:val="20"/>
      <w:szCs w:val="20"/>
    </w:rPr>
  </w:style>
  <w:style w:type="character" w:customStyle="1" w:styleId="TestonotadichiusuraCarattere">
    <w:name w:val="Testo nota di chiusura Carattere"/>
    <w:basedOn w:val="Caratterepredefinitoparagrafo"/>
    <w:link w:val="Testonotadichiusura"/>
    <w:uiPriority w:val="99"/>
    <w:semiHidden/>
    <w:rsid w:val="002761A6"/>
    <w:rPr>
      <w:rFonts w:ascii="Times New Roman" w:eastAsia="Times New Roman" w:hAnsi="Times New Roman" w:cs="Times New Roman"/>
      <w:sz w:val="20"/>
      <w:szCs w:val="20"/>
      <w:lang w:eastAsia="ar-SA"/>
    </w:rPr>
  </w:style>
  <w:style w:type="character" w:styleId="Rimandonotadichiusura">
    <w:name w:val="endnote reference"/>
    <w:basedOn w:val="Caratterepredefinitoparagrafo"/>
    <w:uiPriority w:val="99"/>
    <w:semiHidden/>
    <w:unhideWhenUsed/>
    <w:rsid w:val="002761A6"/>
    <w:rPr>
      <w:vertAlign w:val="superscript"/>
    </w:rPr>
  </w:style>
  <w:style w:type="paragraph" w:styleId="Testonotaapidipagina">
    <w:name w:val="footnote text"/>
    <w:basedOn w:val="Normale"/>
    <w:link w:val="TestonotaapidipaginaCarattere"/>
    <w:uiPriority w:val="99"/>
    <w:semiHidden/>
    <w:unhideWhenUsed/>
    <w:rsid w:val="002A229B"/>
    <w:rPr>
      <w:sz w:val="20"/>
      <w:szCs w:val="20"/>
    </w:rPr>
  </w:style>
  <w:style w:type="character" w:customStyle="1" w:styleId="TestonotaapidipaginaCarattere">
    <w:name w:val="Testo nota a piè di pagina Carattere"/>
    <w:basedOn w:val="Caratterepredefinitoparagrafo"/>
    <w:link w:val="Testonotaapidipagina"/>
    <w:uiPriority w:val="99"/>
    <w:semiHidden/>
    <w:rsid w:val="002A229B"/>
    <w:rPr>
      <w:rFonts w:ascii="Times New Roman" w:eastAsia="Times New Roman" w:hAnsi="Times New Roman" w:cs="Times New Roman"/>
      <w:sz w:val="20"/>
      <w:szCs w:val="20"/>
      <w:lang w:eastAsia="ar-SA"/>
    </w:rPr>
  </w:style>
  <w:style w:type="character" w:styleId="Rimandonotaapidipagina">
    <w:name w:val="footnote reference"/>
    <w:basedOn w:val="Caratterepredefinitoparagrafo"/>
    <w:uiPriority w:val="99"/>
    <w:semiHidden/>
    <w:unhideWhenUsed/>
    <w:rsid w:val="002A229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CFAFF8-4122-574B-AD05-F01B8BD41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819</Words>
  <Characters>4671</Characters>
  <Application>Microsoft Macintosh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MariaRosa</dc:creator>
  <cp:keywords/>
  <dc:description/>
  <cp:lastModifiedBy>Fidel Mbanga Bauna</cp:lastModifiedBy>
  <cp:revision>3</cp:revision>
  <dcterms:created xsi:type="dcterms:W3CDTF">2016-04-01T10:54:00Z</dcterms:created>
  <dcterms:modified xsi:type="dcterms:W3CDTF">2016-04-25T14:41:00Z</dcterms:modified>
</cp:coreProperties>
</file>