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138273" w14:textId="77777777" w:rsidR="00D61C60" w:rsidRPr="00D61C60" w:rsidRDefault="00744D48" w:rsidP="0065171E">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p>
    <w:p w14:paraId="65807933" w14:textId="77777777" w:rsidR="00D61C60" w:rsidRPr="00D61C60" w:rsidRDefault="00D61C60" w:rsidP="00D61C60">
      <w:pPr>
        <w:suppressAutoHyphens/>
        <w:spacing w:after="0" w:line="240" w:lineRule="auto"/>
        <w:jc w:val="both"/>
        <w:rPr>
          <w:rFonts w:ascii="Times New Roman" w:eastAsia="Times New Roman" w:hAnsi="Times New Roman" w:cs="Times New Roman"/>
          <w:sz w:val="24"/>
          <w:szCs w:val="24"/>
          <w:lang w:eastAsia="ar-SA"/>
        </w:rPr>
      </w:pPr>
    </w:p>
    <w:p w14:paraId="0CB68A73" w14:textId="77777777" w:rsidR="00D61C60" w:rsidRPr="00D61C60" w:rsidRDefault="00D61C60" w:rsidP="0065171E">
      <w:pPr>
        <w:suppressAutoHyphens/>
        <w:spacing w:after="0" w:line="240" w:lineRule="auto"/>
        <w:jc w:val="center"/>
        <w:rPr>
          <w:rFonts w:ascii="Times New Roman" w:eastAsia="Times New Roman" w:hAnsi="Times New Roman" w:cs="Times New Roman"/>
          <w:sz w:val="24"/>
          <w:szCs w:val="24"/>
          <w:lang w:eastAsia="ar-SA"/>
        </w:rPr>
      </w:pPr>
      <w:r w:rsidRPr="00D61C60">
        <w:rPr>
          <w:rFonts w:ascii="Times New Roman" w:eastAsia="Times New Roman" w:hAnsi="Times New Roman" w:cs="Times New Roman"/>
          <w:sz w:val="24"/>
          <w:szCs w:val="24"/>
          <w:lang w:eastAsia="ar-SA"/>
        </w:rPr>
        <w:t>833 gennaio 15, Mantova.</w:t>
      </w:r>
    </w:p>
    <w:p w14:paraId="51EA06FD" w14:textId="77777777" w:rsidR="00D61C60" w:rsidRPr="00D61C60" w:rsidRDefault="00D61C60" w:rsidP="005813F9">
      <w:pPr>
        <w:suppressAutoHyphens/>
        <w:spacing w:after="0" w:line="240" w:lineRule="auto"/>
        <w:jc w:val="both"/>
        <w:rPr>
          <w:rFonts w:ascii="Times New Roman" w:eastAsia="Times New Roman" w:hAnsi="Times New Roman" w:cs="Times New Roman"/>
          <w:sz w:val="24"/>
          <w:szCs w:val="24"/>
          <w:lang w:eastAsia="ar-SA"/>
        </w:rPr>
      </w:pPr>
    </w:p>
    <w:p w14:paraId="1A1AEE01" w14:textId="77777777" w:rsidR="005813F9" w:rsidRPr="005813F9" w:rsidRDefault="005813F9" w:rsidP="005813F9">
      <w:pPr>
        <w:suppressAutoHyphens/>
        <w:spacing w:after="0" w:line="240" w:lineRule="auto"/>
        <w:jc w:val="both"/>
        <w:rPr>
          <w:rFonts w:ascii="Times New Roman" w:eastAsia="Times New Roman" w:hAnsi="Times New Roman" w:cs="Times New Roman"/>
          <w:sz w:val="24"/>
          <w:szCs w:val="24"/>
          <w:lang w:eastAsia="ar-SA"/>
        </w:rPr>
      </w:pPr>
      <w:r w:rsidRPr="005813F9">
        <w:rPr>
          <w:rFonts w:ascii="Times New Roman" w:eastAsia="Times New Roman" w:hAnsi="Times New Roman" w:cs="Times New Roman"/>
          <w:sz w:val="24"/>
          <w:szCs w:val="24"/>
          <w:lang w:eastAsia="ar-SA"/>
        </w:rPr>
        <w:t xml:space="preserve">Poiché i messi dell’imperatore a Peschiera, con un placito precedente, non avevano potuto risolvere la questione, Lotario stesso presiede un nuovo processo, a Mantova, dove l’abate di San Zeno </w:t>
      </w:r>
      <w:r w:rsidR="005B63BF">
        <w:rPr>
          <w:rFonts w:ascii="Times New Roman" w:eastAsia="Times New Roman" w:hAnsi="Times New Roman" w:cs="Times New Roman"/>
          <w:sz w:val="24"/>
          <w:szCs w:val="24"/>
          <w:lang w:eastAsia="ar-SA"/>
        </w:rPr>
        <w:t>Leo</w:t>
      </w:r>
      <w:r w:rsidRPr="005813F9">
        <w:rPr>
          <w:rFonts w:ascii="Times New Roman" w:eastAsia="Times New Roman" w:hAnsi="Times New Roman" w:cs="Times New Roman"/>
          <w:sz w:val="24"/>
          <w:szCs w:val="24"/>
          <w:lang w:eastAsia="ar-SA"/>
        </w:rPr>
        <w:t xml:space="preserve">, rappresentato dall’avvocato </w:t>
      </w:r>
      <w:r w:rsidR="005B63BF">
        <w:rPr>
          <w:rFonts w:ascii="Times New Roman" w:eastAsia="Times New Roman" w:hAnsi="Times New Roman" w:cs="Times New Roman"/>
          <w:sz w:val="24"/>
          <w:szCs w:val="24"/>
          <w:lang w:eastAsia="ar-SA"/>
        </w:rPr>
        <w:t>Garibaldus</w:t>
      </w:r>
      <w:r w:rsidRPr="005813F9">
        <w:rPr>
          <w:rFonts w:ascii="Times New Roman" w:eastAsia="Times New Roman" w:hAnsi="Times New Roman" w:cs="Times New Roman"/>
          <w:sz w:val="24"/>
          <w:szCs w:val="24"/>
          <w:lang w:eastAsia="ar-SA"/>
        </w:rPr>
        <w:t xml:space="preserve"> e sostenuto dal vescovo </w:t>
      </w:r>
      <w:r w:rsidR="005B63BF">
        <w:rPr>
          <w:rFonts w:ascii="Times New Roman" w:eastAsia="Times New Roman" w:hAnsi="Times New Roman" w:cs="Times New Roman"/>
          <w:sz w:val="24"/>
          <w:szCs w:val="24"/>
          <w:lang w:eastAsia="ar-SA"/>
        </w:rPr>
        <w:t>Rataldus</w:t>
      </w:r>
      <w:r w:rsidRPr="005813F9">
        <w:rPr>
          <w:rFonts w:ascii="Times New Roman" w:eastAsia="Times New Roman" w:hAnsi="Times New Roman" w:cs="Times New Roman"/>
          <w:sz w:val="24"/>
          <w:szCs w:val="24"/>
          <w:lang w:eastAsia="ar-SA"/>
        </w:rPr>
        <w:t xml:space="preserve">, richiede giustizia nei confronti del conte </w:t>
      </w:r>
      <w:r w:rsidR="005B63BF">
        <w:rPr>
          <w:rFonts w:ascii="Times New Roman" w:eastAsia="Times New Roman" w:hAnsi="Times New Roman" w:cs="Times New Roman"/>
          <w:sz w:val="24"/>
          <w:szCs w:val="24"/>
          <w:lang w:eastAsia="ar-SA"/>
        </w:rPr>
        <w:t>Goradus</w:t>
      </w:r>
      <w:r w:rsidRPr="005813F9">
        <w:rPr>
          <w:rFonts w:ascii="Times New Roman" w:eastAsia="Times New Roman" w:hAnsi="Times New Roman" w:cs="Times New Roman"/>
          <w:sz w:val="24"/>
          <w:szCs w:val="24"/>
          <w:lang w:eastAsia="ar-SA"/>
        </w:rPr>
        <w:t xml:space="preserve">, rappresentato dai suoi avvocati </w:t>
      </w:r>
      <w:r w:rsidR="005B63BF">
        <w:rPr>
          <w:rFonts w:ascii="Times New Roman" w:eastAsia="Times New Roman" w:hAnsi="Times New Roman" w:cs="Times New Roman"/>
          <w:sz w:val="24"/>
          <w:szCs w:val="24"/>
          <w:lang w:eastAsia="ar-SA"/>
        </w:rPr>
        <w:t>Ragileusus</w:t>
      </w:r>
      <w:r w:rsidRPr="005813F9">
        <w:rPr>
          <w:rFonts w:ascii="Times New Roman" w:eastAsia="Times New Roman" w:hAnsi="Times New Roman" w:cs="Times New Roman"/>
          <w:sz w:val="24"/>
          <w:szCs w:val="24"/>
          <w:lang w:eastAsia="ar-SA"/>
        </w:rPr>
        <w:t xml:space="preserve"> e </w:t>
      </w:r>
      <w:r w:rsidR="005B63BF">
        <w:rPr>
          <w:rFonts w:ascii="Times New Roman" w:eastAsia="Times New Roman" w:hAnsi="Times New Roman" w:cs="Times New Roman"/>
          <w:sz w:val="24"/>
          <w:szCs w:val="24"/>
          <w:lang w:eastAsia="ar-SA"/>
        </w:rPr>
        <w:t>Ragipertus</w:t>
      </w:r>
      <w:r w:rsidRPr="005813F9">
        <w:rPr>
          <w:rFonts w:ascii="Times New Roman" w:eastAsia="Times New Roman" w:hAnsi="Times New Roman" w:cs="Times New Roman"/>
          <w:sz w:val="24"/>
          <w:szCs w:val="24"/>
          <w:lang w:eastAsia="ar-SA"/>
        </w:rPr>
        <w:t xml:space="preserve">, riguardo lo sfruttamento dei pascoli nella selva di Ostiglia. In seguito alla presentazione di </w:t>
      </w:r>
      <w:r w:rsidRPr="005B63BF">
        <w:rPr>
          <w:rFonts w:ascii="Times New Roman" w:eastAsia="Times New Roman" w:hAnsi="Times New Roman" w:cs="Times New Roman"/>
          <w:sz w:val="24"/>
          <w:szCs w:val="24"/>
          <w:lang w:eastAsia="ar-SA"/>
        </w:rPr>
        <w:t>alcuni</w:t>
      </w:r>
      <w:r w:rsidRPr="005813F9">
        <w:rPr>
          <w:rFonts w:ascii="Times New Roman" w:eastAsia="Times New Roman" w:hAnsi="Times New Roman" w:cs="Times New Roman"/>
          <w:sz w:val="24"/>
          <w:szCs w:val="24"/>
          <w:lang w:eastAsia="ar-SA"/>
        </w:rPr>
        <w:t xml:space="preserve"> diplomi regi e imperiali il monastero ottiene ragione e si vede ratificata una permuta che il vescovo </w:t>
      </w:r>
      <w:r w:rsidR="005B63BF">
        <w:rPr>
          <w:rFonts w:ascii="Times New Roman" w:eastAsia="Times New Roman" w:hAnsi="Times New Roman" w:cs="Times New Roman"/>
          <w:sz w:val="24"/>
          <w:szCs w:val="24"/>
          <w:lang w:eastAsia="ar-SA"/>
        </w:rPr>
        <w:t>Rataldus</w:t>
      </w:r>
      <w:r w:rsidRPr="005813F9">
        <w:rPr>
          <w:rFonts w:ascii="Times New Roman" w:eastAsia="Times New Roman" w:hAnsi="Times New Roman" w:cs="Times New Roman"/>
          <w:sz w:val="24"/>
          <w:szCs w:val="24"/>
          <w:lang w:eastAsia="ar-SA"/>
        </w:rPr>
        <w:t>, in qualità di rettore, aveva fatto per San Zeno con il vescovo di Brescia.</w:t>
      </w:r>
    </w:p>
    <w:p w14:paraId="16296AE4" w14:textId="77777777" w:rsidR="005813F9" w:rsidRDefault="005813F9" w:rsidP="005813F9">
      <w:pPr>
        <w:suppressAutoHyphens/>
        <w:spacing w:after="0" w:line="240" w:lineRule="auto"/>
        <w:jc w:val="both"/>
        <w:rPr>
          <w:rFonts w:ascii="Times New Roman" w:eastAsia="Times New Roman" w:hAnsi="Times New Roman" w:cs="Times New Roman"/>
          <w:sz w:val="24"/>
          <w:szCs w:val="24"/>
          <w:lang w:eastAsia="ar-SA"/>
        </w:rPr>
      </w:pPr>
    </w:p>
    <w:p w14:paraId="4DF66E17" w14:textId="77777777" w:rsidR="00D61C60" w:rsidRDefault="00D61C60" w:rsidP="005813F9">
      <w:pPr>
        <w:suppressAutoHyphens/>
        <w:spacing w:after="0" w:line="240" w:lineRule="auto"/>
        <w:jc w:val="both"/>
        <w:rPr>
          <w:rFonts w:ascii="Times New Roman" w:eastAsia="Times New Roman" w:hAnsi="Times New Roman" w:cs="Times New Roman"/>
          <w:sz w:val="24"/>
          <w:szCs w:val="24"/>
          <w:lang w:eastAsia="ar-SA"/>
        </w:rPr>
      </w:pPr>
      <w:r w:rsidRPr="00D61C60">
        <w:rPr>
          <w:rFonts w:ascii="Times New Roman" w:eastAsia="Times New Roman" w:hAnsi="Times New Roman" w:cs="Times New Roman"/>
          <w:sz w:val="24"/>
          <w:szCs w:val="24"/>
          <w:lang w:eastAsia="ar-SA"/>
        </w:rPr>
        <w:t>Copia imitativa del sec. XI</w:t>
      </w:r>
      <w:r w:rsidR="006B4653">
        <w:rPr>
          <w:rFonts w:ascii="Times New Roman" w:eastAsia="Times New Roman" w:hAnsi="Times New Roman" w:cs="Times New Roman"/>
          <w:sz w:val="24"/>
          <w:szCs w:val="24"/>
          <w:lang w:eastAsia="ar-SA"/>
        </w:rPr>
        <w:t xml:space="preserve"> </w:t>
      </w:r>
      <w:r w:rsidR="005014DC">
        <w:rPr>
          <w:rFonts w:ascii="Times New Roman" w:eastAsia="Times New Roman" w:hAnsi="Times New Roman" w:cs="Times New Roman"/>
          <w:sz w:val="24"/>
          <w:szCs w:val="24"/>
          <w:lang w:eastAsia="ar-SA"/>
        </w:rPr>
        <w:t>in</w:t>
      </w:r>
      <w:r w:rsidR="000D5BE3">
        <w:rPr>
          <w:rFonts w:ascii="Times New Roman" w:eastAsia="Times New Roman" w:hAnsi="Times New Roman" w:cs="Times New Roman"/>
          <w:sz w:val="24"/>
          <w:szCs w:val="24"/>
          <w:lang w:eastAsia="ar-SA"/>
        </w:rPr>
        <w:t xml:space="preserve"> Verona,</w:t>
      </w:r>
      <w:r w:rsidRPr="00D61C60">
        <w:rPr>
          <w:rFonts w:ascii="Times New Roman" w:eastAsia="Times New Roman" w:hAnsi="Times New Roman" w:cs="Times New Roman"/>
          <w:sz w:val="24"/>
          <w:szCs w:val="24"/>
          <w:lang w:eastAsia="ar-SA"/>
        </w:rPr>
        <w:t xml:space="preserve"> A</w:t>
      </w:r>
      <w:r w:rsidR="000D5BE3">
        <w:rPr>
          <w:rFonts w:ascii="Times New Roman" w:eastAsia="Times New Roman" w:hAnsi="Times New Roman" w:cs="Times New Roman"/>
          <w:sz w:val="24"/>
          <w:szCs w:val="24"/>
          <w:lang w:eastAsia="ar-SA"/>
        </w:rPr>
        <w:t>r</w:t>
      </w:r>
      <w:r w:rsidRPr="00D61C60">
        <w:rPr>
          <w:rFonts w:ascii="Times New Roman" w:eastAsia="Times New Roman" w:hAnsi="Times New Roman" w:cs="Times New Roman"/>
          <w:sz w:val="24"/>
          <w:szCs w:val="24"/>
          <w:lang w:eastAsia="ar-SA"/>
        </w:rPr>
        <w:t>chivio di Stato, Orfanotrofio femminile</w:t>
      </w:r>
      <w:r w:rsidR="006B4653">
        <w:rPr>
          <w:rFonts w:ascii="Times New Roman" w:eastAsia="Times New Roman" w:hAnsi="Times New Roman" w:cs="Times New Roman"/>
          <w:sz w:val="24"/>
          <w:szCs w:val="24"/>
          <w:lang w:eastAsia="ar-SA"/>
        </w:rPr>
        <w:t xml:space="preserve"> (S. Zeno)</w:t>
      </w:r>
      <w:r w:rsidRPr="00D61C60">
        <w:rPr>
          <w:rFonts w:ascii="Times New Roman" w:eastAsia="Times New Roman" w:hAnsi="Times New Roman" w:cs="Times New Roman"/>
          <w:sz w:val="24"/>
          <w:szCs w:val="24"/>
          <w:lang w:eastAsia="ar-SA"/>
        </w:rPr>
        <w:t>, dipl. n. 1 [B].</w:t>
      </w:r>
    </w:p>
    <w:p w14:paraId="01EA4A37" w14:textId="77777777" w:rsidR="0070703D" w:rsidRDefault="0070703D" w:rsidP="005813F9">
      <w:pPr>
        <w:suppressAutoHyphens/>
        <w:spacing w:after="0" w:line="240" w:lineRule="auto"/>
        <w:jc w:val="both"/>
        <w:rPr>
          <w:rFonts w:ascii="Times New Roman" w:eastAsia="Times New Roman" w:hAnsi="Times New Roman" w:cs="Times New Roman"/>
          <w:sz w:val="24"/>
          <w:szCs w:val="24"/>
          <w:lang w:eastAsia="ar-SA"/>
        </w:rPr>
      </w:pPr>
    </w:p>
    <w:p w14:paraId="142DDC00" w14:textId="77777777" w:rsidR="0070703D" w:rsidRPr="00D61C60" w:rsidRDefault="0070703D" w:rsidP="005813F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Edizione: Manaresi, 41.</w:t>
      </w:r>
    </w:p>
    <w:p w14:paraId="3E5DB26F" w14:textId="77777777" w:rsidR="00D61C60" w:rsidRPr="00D61C60" w:rsidRDefault="00D61C60" w:rsidP="005813F9">
      <w:pPr>
        <w:suppressAutoHyphens/>
        <w:spacing w:after="0" w:line="240" w:lineRule="auto"/>
        <w:jc w:val="both"/>
        <w:rPr>
          <w:rFonts w:ascii="Times New Roman" w:eastAsia="Times New Roman" w:hAnsi="Times New Roman" w:cs="Times New Roman"/>
          <w:sz w:val="24"/>
          <w:szCs w:val="24"/>
          <w:lang w:eastAsia="ar-SA"/>
        </w:rPr>
      </w:pPr>
    </w:p>
    <w:p w14:paraId="2B933347" w14:textId="77777777" w:rsidR="00D61C60" w:rsidRDefault="00D61C60" w:rsidP="005813F9">
      <w:pPr>
        <w:suppressAutoHyphens/>
        <w:spacing w:after="0" w:line="240" w:lineRule="auto"/>
        <w:jc w:val="both"/>
        <w:rPr>
          <w:rFonts w:ascii="Times New Roman" w:eastAsia="Times New Roman" w:hAnsi="Times New Roman" w:cs="Times New Roman"/>
          <w:sz w:val="24"/>
          <w:szCs w:val="24"/>
          <w:lang w:eastAsia="ar-SA"/>
        </w:rPr>
      </w:pPr>
      <w:r w:rsidRPr="00D61C60">
        <w:rPr>
          <w:rFonts w:ascii="Times New Roman" w:eastAsia="Times New Roman" w:hAnsi="Times New Roman" w:cs="Times New Roman"/>
          <w:sz w:val="24"/>
          <w:szCs w:val="24"/>
          <w:lang w:eastAsia="ar-SA"/>
        </w:rPr>
        <w:t>§ In nomine domini nostri Iesu Christi Dei aeterni. Hlotharius augustus</w:t>
      </w:r>
      <w:r w:rsidR="00D6091A">
        <w:rPr>
          <w:rStyle w:val="Rimandonotadichiusura"/>
          <w:rFonts w:ascii="Times New Roman" w:eastAsia="Times New Roman" w:hAnsi="Times New Roman" w:cs="Times New Roman"/>
          <w:sz w:val="24"/>
          <w:szCs w:val="24"/>
          <w:lang w:eastAsia="ar-SA"/>
        </w:rPr>
        <w:endnoteReference w:id="1"/>
      </w:r>
      <w:r w:rsidRPr="00D61C60">
        <w:rPr>
          <w:rFonts w:ascii="Times New Roman" w:eastAsia="Times New Roman" w:hAnsi="Times New Roman" w:cs="Times New Roman"/>
          <w:sz w:val="24"/>
          <w:szCs w:val="24"/>
          <w:lang w:eastAsia="ar-SA"/>
        </w:rPr>
        <w:t xml:space="preserve"> invictissimi domni imperatoris Hludovuici filius. Quicquid enim in nostra vel procerum nostrorum presentia recto tramite secundum legem diffinitum fuerit, oportet nostris confirmare oraculis, ut iure firmissimo maneat inconvulsum. Igitur notum sit omnium fidelium nostrorum praesentium scilicet et futurorum sagacitati, quia cum missi nostri in Piscaria ad universorum causas audiendas et recta iudicia terminanda resedissent, ibique veniens Leo abba et advocatus sancti Zenonis</w:t>
      </w:r>
      <w:r w:rsidR="00375B84">
        <w:rPr>
          <w:rStyle w:val="Rimandonotadichiusura"/>
          <w:rFonts w:ascii="Times New Roman" w:eastAsia="Times New Roman" w:hAnsi="Times New Roman" w:cs="Times New Roman"/>
          <w:sz w:val="24"/>
          <w:szCs w:val="24"/>
          <w:lang w:eastAsia="ar-SA"/>
        </w:rPr>
        <w:endnoteReference w:id="2"/>
      </w:r>
      <w:r w:rsidRPr="00D61C60">
        <w:rPr>
          <w:rFonts w:ascii="Times New Roman" w:eastAsia="Times New Roman" w:hAnsi="Times New Roman" w:cs="Times New Roman"/>
          <w:sz w:val="24"/>
          <w:szCs w:val="24"/>
          <w:lang w:eastAsia="ar-SA"/>
        </w:rPr>
        <w:t>, Garibaldus nomine, unde idem Leo per ordinationem Rataldi venerabilis episcopi</w:t>
      </w:r>
      <w:r w:rsidR="00013ACD">
        <w:rPr>
          <w:rStyle w:val="Rimandonotadichiusura"/>
          <w:rFonts w:ascii="Times New Roman" w:eastAsia="Times New Roman" w:hAnsi="Times New Roman" w:cs="Times New Roman"/>
          <w:sz w:val="24"/>
          <w:szCs w:val="24"/>
          <w:lang w:eastAsia="ar-SA"/>
        </w:rPr>
        <w:endnoteReference w:id="3"/>
      </w:r>
      <w:r w:rsidRPr="00D61C60">
        <w:rPr>
          <w:rFonts w:ascii="Times New Roman" w:eastAsia="Times New Roman" w:hAnsi="Times New Roman" w:cs="Times New Roman"/>
          <w:sz w:val="24"/>
          <w:szCs w:val="24"/>
          <w:lang w:eastAsia="ar-SA"/>
        </w:rPr>
        <w:t xml:space="preserve"> esse videbatur, interpellaverunt Ragileusum et Ragipertum advocatos Goradi comitis</w:t>
      </w:r>
      <w:r w:rsidR="004B17C8">
        <w:rPr>
          <w:rStyle w:val="Rimandonotadichiusura"/>
          <w:rFonts w:ascii="Times New Roman" w:eastAsia="Times New Roman" w:hAnsi="Times New Roman" w:cs="Times New Roman"/>
          <w:sz w:val="24"/>
          <w:szCs w:val="24"/>
          <w:lang w:eastAsia="ar-SA"/>
        </w:rPr>
        <w:endnoteReference w:id="4"/>
      </w:r>
      <w:r w:rsidRPr="00D61C60">
        <w:rPr>
          <w:rFonts w:ascii="Times New Roman" w:eastAsia="Times New Roman" w:hAnsi="Times New Roman" w:cs="Times New Roman"/>
          <w:sz w:val="24"/>
          <w:szCs w:val="24"/>
          <w:lang w:eastAsia="ar-SA"/>
        </w:rPr>
        <w:t>, dicentes quod pars prefati Goradi silvam que dicitur Hostilia</w:t>
      </w:r>
      <w:r w:rsidR="00D6091A">
        <w:rPr>
          <w:rStyle w:val="Rimandonotadichiusura"/>
          <w:rFonts w:ascii="Times New Roman" w:eastAsia="Times New Roman" w:hAnsi="Times New Roman" w:cs="Times New Roman"/>
          <w:sz w:val="24"/>
          <w:szCs w:val="24"/>
          <w:lang w:eastAsia="ar-SA"/>
        </w:rPr>
        <w:endnoteReference w:id="5"/>
      </w:r>
      <w:r w:rsidRPr="00D61C60">
        <w:rPr>
          <w:rFonts w:ascii="Times New Roman" w:eastAsia="Times New Roman" w:hAnsi="Times New Roman" w:cs="Times New Roman"/>
          <w:sz w:val="24"/>
          <w:szCs w:val="24"/>
          <w:lang w:eastAsia="ar-SA"/>
        </w:rPr>
        <w:t xml:space="preserve"> et pascua pertinentem ex iure sancti Zenonis suo iure occupasset inlicite et contra legem. Quam rem dum prefati missi nostri per se minime difinire potuissent, in nostram hoc pleniter deliberanda iussimus venire presentiam. Qua de re, dum diligenti adhibita investigatione rei veritatem perquireremus, detulit predictus abba optutibus nostris precepta antiquorum regum</w:t>
      </w:r>
      <w:r w:rsidR="005014DC">
        <w:rPr>
          <w:rStyle w:val="Rimandonotadichiusura"/>
          <w:rFonts w:ascii="Times New Roman" w:eastAsia="Times New Roman" w:hAnsi="Times New Roman" w:cs="Times New Roman"/>
          <w:sz w:val="24"/>
          <w:szCs w:val="24"/>
          <w:lang w:eastAsia="ar-SA"/>
        </w:rPr>
        <w:endnoteReference w:id="6"/>
      </w:r>
      <w:r w:rsidRPr="00D61C60">
        <w:rPr>
          <w:rFonts w:ascii="Times New Roman" w:eastAsia="Times New Roman" w:hAnsi="Times New Roman" w:cs="Times New Roman"/>
          <w:sz w:val="24"/>
          <w:szCs w:val="24"/>
          <w:lang w:eastAsia="ar-SA"/>
        </w:rPr>
        <w:t xml:space="preserve"> nec non et bone memorie avi nostri domni Karoli prestantissimi imperatoris, verum etiam et avunculi nostri Pipini quondam gloriosi regis domnique et genitoris nostri Hludovuici serenissimi augusti. Que dum relegi fecissemus, comperimus iuste et rationabiliter parti monasterii sancti Zenonis in omnibus pascuarum et capuli seu decime et omnem exactionem pertinere absque qualibet in parte aliquod redibitionis debitum, salvo suo iure in integrum territorio ubi Hostilia nuncupatur, cuius fines sunt a Pado usque in caput Turnioni et a fossa Lubia usque ad fossam Regiam et pollicinem iuxta castrum Reveri. Ideoque ad prefatum sanctum ac venerabilem</w:t>
      </w:r>
      <w:r w:rsidR="00A30F18">
        <w:rPr>
          <w:rStyle w:val="Rimandonotaapidipagina"/>
          <w:rFonts w:ascii="Times New Roman" w:eastAsia="Times New Roman" w:hAnsi="Times New Roman" w:cs="Times New Roman"/>
          <w:sz w:val="24"/>
          <w:szCs w:val="24"/>
          <w:lang w:eastAsia="ar-SA"/>
        </w:rPr>
        <w:footnoteReference w:id="1"/>
      </w:r>
      <w:r w:rsidRPr="00D61C60">
        <w:rPr>
          <w:rFonts w:ascii="Times New Roman" w:eastAsia="Times New Roman" w:hAnsi="Times New Roman" w:cs="Times New Roman"/>
          <w:sz w:val="24"/>
          <w:szCs w:val="24"/>
          <w:lang w:eastAsia="ar-SA"/>
        </w:rPr>
        <w:t xml:space="preserve"> hos nostrȩ auctoritatis ap</w:t>
      </w:r>
      <w:r w:rsidR="00A30F18">
        <w:rPr>
          <w:rFonts w:ascii="Times New Roman" w:eastAsia="Times New Roman" w:hAnsi="Times New Roman" w:cs="Times New Roman"/>
          <w:sz w:val="24"/>
          <w:szCs w:val="24"/>
          <w:lang w:eastAsia="ar-SA"/>
        </w:rPr>
        <w:t xml:space="preserve">ices fieri iussimus, per quos absque </w:t>
      </w:r>
      <w:r w:rsidRPr="00D61C60">
        <w:rPr>
          <w:rFonts w:ascii="Times New Roman" w:eastAsia="Times New Roman" w:hAnsi="Times New Roman" w:cs="Times New Roman"/>
          <w:sz w:val="24"/>
          <w:szCs w:val="24"/>
          <w:lang w:eastAsia="ar-SA"/>
        </w:rPr>
        <w:t>qualibet inquetudine abhinc in futurum nostra auctoritate teneat iusteque fruendo possideat. Insuper retulit nobis Rataldus episcopus, cui prefatum monasterium nostra auctoritate ad regendum commissum erat, eo quod Goradus comes aliquas ei inferat contra causationes de quibusdam rebus et mancipiis que olim predecessor prefati Goradi, Vulvinus</w:t>
      </w:r>
      <w:r w:rsidR="00CC168A">
        <w:rPr>
          <w:rStyle w:val="Rimandonotadichiusura"/>
          <w:rFonts w:ascii="Times New Roman" w:eastAsia="Times New Roman" w:hAnsi="Times New Roman" w:cs="Times New Roman"/>
          <w:sz w:val="24"/>
          <w:szCs w:val="24"/>
          <w:lang w:eastAsia="ar-SA"/>
        </w:rPr>
        <w:endnoteReference w:id="7"/>
      </w:r>
      <w:r w:rsidRPr="00D61C60">
        <w:rPr>
          <w:rFonts w:ascii="Times New Roman" w:eastAsia="Times New Roman" w:hAnsi="Times New Roman" w:cs="Times New Roman"/>
          <w:sz w:val="24"/>
          <w:szCs w:val="24"/>
          <w:lang w:eastAsia="ar-SA"/>
        </w:rPr>
        <w:t xml:space="preserve"> no</w:t>
      </w:r>
      <w:r w:rsidR="007A5DE8">
        <w:rPr>
          <w:rFonts w:ascii="Times New Roman" w:eastAsia="Times New Roman" w:hAnsi="Times New Roman" w:cs="Times New Roman"/>
          <w:sz w:val="24"/>
          <w:szCs w:val="24"/>
          <w:lang w:eastAsia="ar-SA"/>
        </w:rPr>
        <w:t>[</w:t>
      </w:r>
      <w:r w:rsidRPr="00D61C60">
        <w:rPr>
          <w:rFonts w:ascii="Times New Roman" w:eastAsia="Times New Roman" w:hAnsi="Times New Roman" w:cs="Times New Roman"/>
          <w:sz w:val="24"/>
          <w:szCs w:val="24"/>
          <w:lang w:eastAsia="ar-SA"/>
        </w:rPr>
        <w:t>m</w:t>
      </w:r>
      <w:r w:rsidR="007A5DE8">
        <w:rPr>
          <w:rFonts w:ascii="Times New Roman" w:eastAsia="Times New Roman" w:hAnsi="Times New Roman" w:cs="Times New Roman"/>
          <w:sz w:val="24"/>
          <w:szCs w:val="24"/>
          <w:lang w:eastAsia="ar-SA"/>
        </w:rPr>
        <w:t>]</w:t>
      </w:r>
      <w:r w:rsidRPr="00D61C60">
        <w:rPr>
          <w:rFonts w:ascii="Times New Roman" w:eastAsia="Times New Roman" w:hAnsi="Times New Roman" w:cs="Times New Roman"/>
          <w:sz w:val="24"/>
          <w:szCs w:val="24"/>
          <w:lang w:eastAsia="ar-SA"/>
        </w:rPr>
        <w:t>ine, cum episcopo Brixanȩ Ȩcclesiȩ Chuniberto</w:t>
      </w:r>
      <w:r w:rsidR="00E110C4">
        <w:rPr>
          <w:rStyle w:val="Rimandonotadichiusura"/>
          <w:rFonts w:ascii="Times New Roman" w:eastAsia="Times New Roman" w:hAnsi="Times New Roman" w:cs="Times New Roman"/>
          <w:sz w:val="24"/>
          <w:szCs w:val="24"/>
          <w:lang w:eastAsia="ar-SA"/>
        </w:rPr>
        <w:endnoteReference w:id="8"/>
      </w:r>
      <w:r w:rsidRPr="00D61C60">
        <w:rPr>
          <w:rFonts w:ascii="Times New Roman" w:eastAsia="Times New Roman" w:hAnsi="Times New Roman" w:cs="Times New Roman"/>
          <w:sz w:val="24"/>
          <w:szCs w:val="24"/>
          <w:lang w:eastAsia="ar-SA"/>
        </w:rPr>
        <w:t xml:space="preserve"> nomine, co</w:t>
      </w:r>
      <w:r w:rsidR="007A5DE8">
        <w:rPr>
          <w:rFonts w:ascii="Times New Roman" w:eastAsia="Times New Roman" w:hAnsi="Times New Roman" w:cs="Times New Roman"/>
          <w:sz w:val="24"/>
          <w:szCs w:val="24"/>
          <w:lang w:eastAsia="ar-SA"/>
        </w:rPr>
        <w:t>[mm]</w:t>
      </w:r>
      <w:r w:rsidRPr="00D61C60">
        <w:rPr>
          <w:rFonts w:ascii="Times New Roman" w:eastAsia="Times New Roman" w:hAnsi="Times New Roman" w:cs="Times New Roman"/>
          <w:sz w:val="24"/>
          <w:szCs w:val="24"/>
          <w:lang w:eastAsia="ar-SA"/>
        </w:rPr>
        <w:t>utaverat et contra sibi placitam acceperat commutationem, que dum utilia post aliquot dies idem Rataldus venerabilis episcopus prefate sancti Zenonis Ȩcclesiȩ esse cognovisset, datis in recompensatione parti predictȩ Brexane Ecclesiȩ congruentibus rebus et mancipiis a Petro quondam eiusdem Ecclesiȩ episcopo</w:t>
      </w:r>
      <w:r w:rsidR="00E110C4">
        <w:rPr>
          <w:rStyle w:val="Rimandonotadichiusura"/>
          <w:rFonts w:ascii="Times New Roman" w:eastAsia="Times New Roman" w:hAnsi="Times New Roman" w:cs="Times New Roman"/>
          <w:sz w:val="24"/>
          <w:szCs w:val="24"/>
          <w:lang w:eastAsia="ar-SA"/>
        </w:rPr>
        <w:endnoteReference w:id="9"/>
      </w:r>
      <w:r w:rsidRPr="00D61C60">
        <w:rPr>
          <w:rFonts w:ascii="Times New Roman" w:eastAsia="Times New Roman" w:hAnsi="Times New Roman" w:cs="Times New Roman"/>
          <w:sz w:val="24"/>
          <w:szCs w:val="24"/>
          <w:lang w:eastAsia="ar-SA"/>
        </w:rPr>
        <w:t xml:space="preserve">, commutario ordine parti prenominatȩ sancti Zenonis Ecclesiȩ conquisivit ad habendum; sed quia regiȩ potestatis missus inter has defuerat commutationes, pro huiusmodi </w:t>
      </w:r>
      <w:r w:rsidR="00A30F18">
        <w:rPr>
          <w:rFonts w:ascii="Times New Roman" w:eastAsia="Times New Roman" w:hAnsi="Times New Roman" w:cs="Times New Roman"/>
          <w:sz w:val="24"/>
          <w:szCs w:val="24"/>
          <w:lang w:eastAsia="ar-SA"/>
        </w:rPr>
        <w:t>occasionibus</w:t>
      </w:r>
      <w:r w:rsidR="00A30F18">
        <w:rPr>
          <w:rStyle w:val="Rimandonotaapidipagina"/>
          <w:rFonts w:ascii="Times New Roman" w:eastAsia="Times New Roman" w:hAnsi="Times New Roman" w:cs="Times New Roman"/>
          <w:sz w:val="24"/>
          <w:szCs w:val="24"/>
          <w:lang w:eastAsia="ar-SA"/>
        </w:rPr>
        <w:footnoteReference w:id="2"/>
      </w:r>
      <w:r w:rsidR="00A30F18">
        <w:rPr>
          <w:rFonts w:ascii="Times New Roman" w:eastAsia="Times New Roman" w:hAnsi="Times New Roman" w:cs="Times New Roman"/>
          <w:sz w:val="24"/>
          <w:szCs w:val="24"/>
          <w:lang w:eastAsia="ar-SA"/>
        </w:rPr>
        <w:t xml:space="preserve"> </w:t>
      </w:r>
      <w:r w:rsidR="008C0871">
        <w:rPr>
          <w:rFonts w:ascii="Times New Roman" w:eastAsia="Times New Roman" w:hAnsi="Times New Roman" w:cs="Times New Roman"/>
          <w:sz w:val="24"/>
          <w:szCs w:val="24"/>
          <w:lang w:eastAsia="ar-SA"/>
        </w:rPr>
        <w:t>ahimendis</w:t>
      </w:r>
      <w:r w:rsidR="00A30F18">
        <w:rPr>
          <w:rStyle w:val="Rimandonotaapidipagina"/>
          <w:rFonts w:ascii="Times New Roman" w:eastAsia="Times New Roman" w:hAnsi="Times New Roman" w:cs="Times New Roman"/>
          <w:sz w:val="24"/>
          <w:szCs w:val="24"/>
          <w:lang w:eastAsia="ar-SA"/>
        </w:rPr>
        <w:footnoteReference w:id="3"/>
      </w:r>
      <w:r w:rsidRPr="00D61C60">
        <w:rPr>
          <w:rFonts w:ascii="Times New Roman" w:eastAsia="Times New Roman" w:hAnsi="Times New Roman" w:cs="Times New Roman"/>
          <w:sz w:val="24"/>
          <w:szCs w:val="24"/>
          <w:lang w:eastAsia="ar-SA"/>
        </w:rPr>
        <w:t>, ne ideo ab eadem Ecclesia auferantur, quoniam legaliter absque regio mi</w:t>
      </w:r>
      <w:r w:rsidR="00A30F18">
        <w:rPr>
          <w:rFonts w:ascii="Times New Roman" w:eastAsia="Times New Roman" w:hAnsi="Times New Roman" w:cs="Times New Roman"/>
          <w:sz w:val="24"/>
          <w:szCs w:val="24"/>
          <w:lang w:eastAsia="ar-SA"/>
        </w:rPr>
        <w:t xml:space="preserve">sso non poterant </w:t>
      </w:r>
      <w:r w:rsidR="00A30F18">
        <w:rPr>
          <w:rFonts w:ascii="Times New Roman" w:eastAsia="Times New Roman" w:hAnsi="Times New Roman" w:cs="Times New Roman"/>
          <w:sz w:val="24"/>
          <w:szCs w:val="24"/>
          <w:lang w:eastAsia="ar-SA"/>
        </w:rPr>
        <w:lastRenderedPageBreak/>
        <w:t>commutari, han</w:t>
      </w:r>
      <w:r w:rsidR="00A30F18">
        <w:rPr>
          <w:rStyle w:val="Rimandonotaapidipagina"/>
          <w:rFonts w:ascii="Times New Roman" w:eastAsia="Times New Roman" w:hAnsi="Times New Roman" w:cs="Times New Roman"/>
          <w:sz w:val="24"/>
          <w:szCs w:val="24"/>
          <w:lang w:eastAsia="ar-SA"/>
        </w:rPr>
        <w:footnoteReference w:id="4"/>
      </w:r>
      <w:r w:rsidR="00A30F18">
        <w:rPr>
          <w:rFonts w:ascii="Times New Roman" w:eastAsia="Times New Roman" w:hAnsi="Times New Roman" w:cs="Times New Roman"/>
          <w:sz w:val="24"/>
          <w:szCs w:val="24"/>
          <w:lang w:eastAsia="ar-SA"/>
        </w:rPr>
        <w:t xml:space="preserve"> </w:t>
      </w:r>
      <w:r w:rsidRPr="00D61C60">
        <w:rPr>
          <w:rFonts w:ascii="Times New Roman" w:eastAsia="Times New Roman" w:hAnsi="Times New Roman" w:cs="Times New Roman"/>
          <w:sz w:val="24"/>
          <w:szCs w:val="24"/>
          <w:lang w:eastAsia="ar-SA"/>
        </w:rPr>
        <w:t xml:space="preserve">nostram auctoritatem super prefatas commutationes addere libuit, per quas iubemus rate mansurum. </w:t>
      </w:r>
      <w:r w:rsidR="00A30F18">
        <w:rPr>
          <w:rFonts w:ascii="Times New Roman" w:eastAsia="Times New Roman" w:hAnsi="Times New Roman" w:cs="Times New Roman"/>
          <w:sz w:val="24"/>
          <w:szCs w:val="24"/>
          <w:lang w:eastAsia="ar-SA"/>
        </w:rPr>
        <w:t>S</w:t>
      </w:r>
      <w:r w:rsidR="003B77B7">
        <w:rPr>
          <w:rFonts w:ascii="Times New Roman" w:eastAsia="Times New Roman" w:hAnsi="Times New Roman" w:cs="Times New Roman"/>
          <w:sz w:val="24"/>
          <w:szCs w:val="24"/>
          <w:lang w:eastAsia="ar-SA"/>
        </w:rPr>
        <w:t>anctimus</w:t>
      </w:r>
      <w:r w:rsidR="00A30F18">
        <w:rPr>
          <w:rStyle w:val="Rimandonotaapidipagina"/>
          <w:rFonts w:ascii="Times New Roman" w:eastAsia="Times New Roman" w:hAnsi="Times New Roman" w:cs="Times New Roman"/>
          <w:sz w:val="24"/>
          <w:szCs w:val="24"/>
          <w:lang w:eastAsia="ar-SA"/>
        </w:rPr>
        <w:footnoteReference w:id="5"/>
      </w:r>
      <w:r w:rsidRPr="00D61C60">
        <w:rPr>
          <w:rFonts w:ascii="Times New Roman" w:eastAsia="Times New Roman" w:hAnsi="Times New Roman" w:cs="Times New Roman"/>
          <w:sz w:val="24"/>
          <w:szCs w:val="24"/>
          <w:lang w:eastAsia="ar-SA"/>
        </w:rPr>
        <w:t xml:space="preserve">, ut nullus fidelium sancte Dei ecclesiȩ nostrorumque abhinc in antea inde aliquam parti sepe dicti sancti Zenonis inferre presumat contrarietatem, sed liceat ei ut iusto tramite adquisivit quiete rectoribus ipsius Ecclesiȩ ordinare atque disponere quicquid utilitas praedicte dictaverit Ecclesiȩ. Si vero, quod futurum non credimus, aliquis dux comes aut cuiuslibet </w:t>
      </w:r>
      <w:r w:rsidR="003B77B7">
        <w:rPr>
          <w:rFonts w:ascii="Times New Roman" w:eastAsia="Times New Roman" w:hAnsi="Times New Roman" w:cs="Times New Roman"/>
          <w:sz w:val="24"/>
          <w:szCs w:val="24"/>
          <w:lang w:eastAsia="ar-SA"/>
        </w:rPr>
        <w:t>ammistrationis</w:t>
      </w:r>
      <w:r w:rsidR="00A30F18">
        <w:rPr>
          <w:rStyle w:val="Rimandonotaapidipagina"/>
          <w:rFonts w:ascii="Times New Roman" w:eastAsia="Times New Roman" w:hAnsi="Times New Roman" w:cs="Times New Roman"/>
          <w:sz w:val="24"/>
          <w:szCs w:val="24"/>
          <w:lang w:eastAsia="ar-SA"/>
        </w:rPr>
        <w:footnoteReference w:id="6"/>
      </w:r>
      <w:r w:rsidRPr="00D61C60">
        <w:rPr>
          <w:rFonts w:ascii="Times New Roman" w:eastAsia="Times New Roman" w:hAnsi="Times New Roman" w:cs="Times New Roman"/>
          <w:sz w:val="24"/>
          <w:szCs w:val="24"/>
          <w:lang w:eastAsia="ar-SA"/>
        </w:rPr>
        <w:t xml:space="preserve"> aut privata persona contra omnia suprascripta moliri aliquid presumpserit seu infrangere vel corrumpere ex parte aut ex toto temptaverit, sciat se compositurum mille mancusos auri obrizi, medietate camere nostrȩ et medietatem iam dicto monasterio sancti Zenonis, si aliqua contrarietatis violentia illata fuerit. Et ut hoc certissime credatur et diligentius observetur, manu propria roboravimus et anuli nostri impressione insigniri iussimus.</w:t>
      </w:r>
      <w:r w:rsidR="00F26D19">
        <w:rPr>
          <w:rFonts w:ascii="Times New Roman" w:eastAsia="Times New Roman" w:hAnsi="Times New Roman" w:cs="Times New Roman"/>
          <w:sz w:val="24"/>
          <w:szCs w:val="24"/>
          <w:lang w:eastAsia="ar-SA"/>
        </w:rPr>
        <w:t xml:space="preserve"> </w:t>
      </w:r>
      <w:r w:rsidR="003B77B7">
        <w:rPr>
          <w:rFonts w:ascii="Times New Roman" w:eastAsia="Times New Roman" w:hAnsi="Times New Roman" w:cs="Times New Roman"/>
          <w:sz w:val="24"/>
          <w:szCs w:val="24"/>
          <w:lang w:eastAsia="ar-SA"/>
        </w:rPr>
        <w:t>Dructemirius</w:t>
      </w:r>
      <w:r w:rsidR="00A30F18">
        <w:rPr>
          <w:rStyle w:val="Rimandonotaapidipagina"/>
          <w:rFonts w:ascii="Times New Roman" w:eastAsia="Times New Roman" w:hAnsi="Times New Roman" w:cs="Times New Roman"/>
          <w:sz w:val="24"/>
          <w:szCs w:val="24"/>
          <w:lang w:eastAsia="ar-SA"/>
        </w:rPr>
        <w:footnoteReference w:id="7"/>
      </w:r>
      <w:r w:rsidRPr="00D61C60">
        <w:rPr>
          <w:rFonts w:ascii="Times New Roman" w:eastAsia="Times New Roman" w:hAnsi="Times New Roman" w:cs="Times New Roman"/>
          <w:sz w:val="24"/>
          <w:szCs w:val="24"/>
          <w:lang w:eastAsia="ar-SA"/>
        </w:rPr>
        <w:t xml:space="preserve"> subdiaconus atque notarius ad vicem Hermenfredi scripsi. § (SR)</w:t>
      </w:r>
      <w:r w:rsidR="00F26D19">
        <w:rPr>
          <w:rFonts w:ascii="Times New Roman" w:eastAsia="Times New Roman" w:hAnsi="Times New Roman" w:cs="Times New Roman"/>
          <w:sz w:val="24"/>
          <w:szCs w:val="24"/>
          <w:lang w:eastAsia="ar-SA"/>
        </w:rPr>
        <w:t xml:space="preserve">. </w:t>
      </w:r>
      <w:r w:rsidRPr="00D61C60">
        <w:rPr>
          <w:rFonts w:ascii="Times New Roman" w:eastAsia="Times New Roman" w:hAnsi="Times New Roman" w:cs="Times New Roman"/>
          <w:sz w:val="24"/>
          <w:szCs w:val="24"/>
          <w:lang w:eastAsia="ar-SA"/>
        </w:rPr>
        <w:t>Data XVIII kalendas februarias, anno Christo propitio imperii domni Hludovuici serenissimi imperatoris XX et Hlothari XI, inditione XI. Actum Mantua, palatio regio, in Dei nomine feliciter, amen.</w:t>
      </w:r>
    </w:p>
    <w:p w14:paraId="4922F44C" w14:textId="77777777" w:rsidR="00AE324D" w:rsidRDefault="00AE324D" w:rsidP="005813F9">
      <w:pPr>
        <w:suppressAutoHyphens/>
        <w:spacing w:after="0" w:line="240" w:lineRule="auto"/>
        <w:jc w:val="both"/>
        <w:rPr>
          <w:rFonts w:ascii="Times New Roman" w:eastAsia="Times New Roman" w:hAnsi="Times New Roman" w:cs="Times New Roman"/>
          <w:sz w:val="24"/>
          <w:szCs w:val="24"/>
          <w:lang w:eastAsia="ar-SA"/>
        </w:rPr>
      </w:pPr>
    </w:p>
    <w:p w14:paraId="5D02E8B7" w14:textId="77777777" w:rsidR="00091191" w:rsidRDefault="00091191">
      <w:pP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br w:type="page"/>
      </w:r>
    </w:p>
    <w:p w14:paraId="53A69DE7" w14:textId="77777777" w:rsidR="00710949" w:rsidRPr="00E81581" w:rsidRDefault="00091191" w:rsidP="005813F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NOTE STORICHE</w:t>
      </w:r>
    </w:p>
    <w:sectPr w:rsidR="00710949" w:rsidRPr="00E81581">
      <w:footnotePr>
        <w:numFmt w:val="lowerLetter"/>
      </w:footnotePr>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E44B88" w14:textId="77777777" w:rsidR="004641F3" w:rsidRDefault="004641F3" w:rsidP="00A30F18">
      <w:pPr>
        <w:spacing w:after="0" w:line="240" w:lineRule="auto"/>
      </w:pPr>
      <w:r>
        <w:separator/>
      </w:r>
    </w:p>
  </w:endnote>
  <w:endnote w:type="continuationSeparator" w:id="0">
    <w:p w14:paraId="528AF1F9" w14:textId="77777777" w:rsidR="004641F3" w:rsidRDefault="004641F3" w:rsidP="00A30F18">
      <w:pPr>
        <w:spacing w:after="0" w:line="240" w:lineRule="auto"/>
      </w:pPr>
      <w:r>
        <w:continuationSeparator/>
      </w:r>
    </w:p>
  </w:endnote>
  <w:endnote w:id="1">
    <w:p w14:paraId="01D2D156" w14:textId="77777777" w:rsidR="00D6091A" w:rsidRPr="0065171E" w:rsidRDefault="00D6091A" w:rsidP="005B63BF">
      <w:pPr>
        <w:pStyle w:val="Testonotadichiusura"/>
        <w:jc w:val="both"/>
        <w:rPr>
          <w:rFonts w:ascii="Times New Roman" w:hAnsi="Times New Roman" w:cs="Times New Roman"/>
        </w:rPr>
      </w:pPr>
      <w:r>
        <w:rPr>
          <w:rStyle w:val="Rimandonotadichiusura"/>
        </w:rPr>
        <w:endnoteRef/>
      </w:r>
      <w:r>
        <w:t xml:space="preserve"> </w:t>
      </w:r>
      <w:r w:rsidRPr="0065171E">
        <w:rPr>
          <w:rFonts w:ascii="Times New Roman" w:hAnsi="Times New Roman" w:cs="Times New Roman"/>
        </w:rPr>
        <w:t xml:space="preserve">Questo è l’unico atto giudiziario </w:t>
      </w:r>
      <w:r w:rsidR="009E3008" w:rsidRPr="0065171E">
        <w:rPr>
          <w:rFonts w:ascii="Times New Roman" w:hAnsi="Times New Roman" w:cs="Times New Roman"/>
        </w:rPr>
        <w:t>presieduto</w:t>
      </w:r>
      <w:r w:rsidRPr="0065171E">
        <w:rPr>
          <w:rFonts w:ascii="Times New Roman" w:hAnsi="Times New Roman" w:cs="Times New Roman"/>
        </w:rPr>
        <w:t xml:space="preserve"> da Lotario</w:t>
      </w:r>
      <w:r w:rsidR="009E3008" w:rsidRPr="0065171E">
        <w:rPr>
          <w:rFonts w:ascii="Times New Roman" w:hAnsi="Times New Roman" w:cs="Times New Roman"/>
        </w:rPr>
        <w:t xml:space="preserve"> in Italia: generalmente, questo periodo vede la proliferazione dei placiti presieduti da </w:t>
      </w:r>
      <w:r w:rsidR="00C640D1">
        <w:rPr>
          <w:rFonts w:ascii="Times New Roman" w:hAnsi="Times New Roman" w:cs="Times New Roman"/>
          <w:i/>
        </w:rPr>
        <w:t>missi</w:t>
      </w:r>
      <w:r w:rsidR="009E3008" w:rsidRPr="0065171E">
        <w:rPr>
          <w:rFonts w:ascii="Times New Roman" w:hAnsi="Times New Roman" w:cs="Times New Roman"/>
        </w:rPr>
        <w:t xml:space="preserve"> o da autorità locali, mentre i sovrani mostrano sempre meno interesse per questa attività (Manaresi p. 9-10 e </w:t>
      </w:r>
      <w:r w:rsidR="009E3008" w:rsidRPr="0065171E">
        <w:rPr>
          <w:rFonts w:ascii="Times New Roman" w:hAnsi="Times New Roman" w:cs="Times New Roman"/>
          <w:smallCaps/>
        </w:rPr>
        <w:t>Bougard</w:t>
      </w:r>
      <w:r w:rsidR="009E3008" w:rsidRPr="0065171E">
        <w:rPr>
          <w:rFonts w:ascii="Times New Roman" w:hAnsi="Times New Roman" w:cs="Times New Roman"/>
        </w:rPr>
        <w:t xml:space="preserve"> 2008, p. 337-338, che </w:t>
      </w:r>
      <w:r w:rsidR="005014DC" w:rsidRPr="0065171E">
        <w:rPr>
          <w:rFonts w:ascii="Times New Roman" w:hAnsi="Times New Roman" w:cs="Times New Roman"/>
        </w:rPr>
        <w:t>mette in rilievo, inoltre</w:t>
      </w:r>
      <w:r w:rsidR="009E3008" w:rsidRPr="0065171E">
        <w:rPr>
          <w:rFonts w:ascii="Times New Roman" w:hAnsi="Times New Roman" w:cs="Times New Roman"/>
        </w:rPr>
        <w:t xml:space="preserve">, la tendenza contraria dei principi beneventani </w:t>
      </w:r>
      <w:r w:rsidR="005014DC" w:rsidRPr="0065171E">
        <w:rPr>
          <w:rFonts w:ascii="Times New Roman" w:hAnsi="Times New Roman" w:cs="Times New Roman"/>
        </w:rPr>
        <w:t xml:space="preserve">che si riservarono </w:t>
      </w:r>
      <w:r w:rsidR="009E3008" w:rsidRPr="0065171E">
        <w:rPr>
          <w:rFonts w:ascii="Times New Roman" w:hAnsi="Times New Roman" w:cs="Times New Roman"/>
        </w:rPr>
        <w:t>ancora per molti anni la gestione dei tribunali).</w:t>
      </w:r>
    </w:p>
  </w:endnote>
  <w:endnote w:id="2">
    <w:p w14:paraId="0FB580F3" w14:textId="77777777" w:rsidR="00375B84" w:rsidRPr="0065171E" w:rsidRDefault="00375B84" w:rsidP="005B63BF">
      <w:pPr>
        <w:pStyle w:val="Testonotadichiusura"/>
        <w:jc w:val="both"/>
        <w:rPr>
          <w:rFonts w:ascii="Times New Roman" w:hAnsi="Times New Roman" w:cs="Times New Roman"/>
        </w:rPr>
      </w:pPr>
      <w:r w:rsidRPr="0065171E">
        <w:rPr>
          <w:rStyle w:val="Rimandonotadichiusura"/>
          <w:rFonts w:ascii="Times New Roman" w:hAnsi="Times New Roman" w:cs="Times New Roman"/>
        </w:rPr>
        <w:endnoteRef/>
      </w:r>
      <w:r w:rsidRPr="0065171E">
        <w:rPr>
          <w:rFonts w:ascii="Times New Roman" w:hAnsi="Times New Roman" w:cs="Times New Roman"/>
        </w:rPr>
        <w:t xml:space="preserve"> La chiesa di San Zeno esiste dal VI secolo, come testimoniato da Gregorio Magno (</w:t>
      </w:r>
      <w:r w:rsidRPr="0065171E">
        <w:rPr>
          <w:rFonts w:ascii="Times New Roman" w:hAnsi="Times New Roman" w:cs="Times New Roman"/>
          <w:i/>
        </w:rPr>
        <w:t>Dialogi</w:t>
      </w:r>
      <w:r w:rsidRPr="0065171E">
        <w:rPr>
          <w:rFonts w:ascii="Times New Roman" w:hAnsi="Times New Roman" w:cs="Times New Roman"/>
        </w:rPr>
        <w:t>, III, 19). Il vescovo Ratoldo, assieme a Pipino, contribuì alla sua ristrutturazione. Nel X secolo, talvolta vi risiedevano i vescovi di Verona (</w:t>
      </w:r>
      <w:r w:rsidRPr="0065171E">
        <w:rPr>
          <w:rFonts w:ascii="Times New Roman" w:hAnsi="Times New Roman" w:cs="Times New Roman"/>
          <w:smallCaps/>
        </w:rPr>
        <w:t>Kehr</w:t>
      </w:r>
      <w:r w:rsidRPr="0065171E">
        <w:rPr>
          <w:rFonts w:ascii="Times New Roman" w:hAnsi="Times New Roman" w:cs="Times New Roman"/>
        </w:rPr>
        <w:t xml:space="preserve"> 1923, pp. 267-271).</w:t>
      </w:r>
    </w:p>
  </w:endnote>
  <w:endnote w:id="3">
    <w:p w14:paraId="4120A04E" w14:textId="77777777" w:rsidR="00013ACD" w:rsidRPr="0065171E" w:rsidRDefault="00013ACD" w:rsidP="005B63BF">
      <w:pPr>
        <w:pStyle w:val="Testonotadichiusura"/>
        <w:jc w:val="both"/>
        <w:rPr>
          <w:rFonts w:ascii="Times New Roman" w:hAnsi="Times New Roman" w:cs="Times New Roman"/>
        </w:rPr>
      </w:pPr>
      <w:r w:rsidRPr="0065171E">
        <w:rPr>
          <w:rStyle w:val="Rimandonotadichiusura"/>
          <w:rFonts w:ascii="Times New Roman" w:hAnsi="Times New Roman" w:cs="Times New Roman"/>
        </w:rPr>
        <w:endnoteRef/>
      </w:r>
      <w:r w:rsidRPr="0065171E">
        <w:rPr>
          <w:rFonts w:ascii="Times New Roman" w:hAnsi="Times New Roman" w:cs="Times New Roman"/>
        </w:rPr>
        <w:t xml:space="preserve"> Il vescovo Ratoldo</w:t>
      </w:r>
      <w:r w:rsidR="005014DC" w:rsidRPr="0065171E">
        <w:rPr>
          <w:rFonts w:ascii="Times New Roman" w:hAnsi="Times New Roman" w:cs="Times New Roman"/>
        </w:rPr>
        <w:t xml:space="preserve"> (799-840)</w:t>
      </w:r>
      <w:r w:rsidRPr="0065171E">
        <w:rPr>
          <w:rFonts w:ascii="Times New Roman" w:hAnsi="Times New Roman" w:cs="Times New Roman"/>
        </w:rPr>
        <w:t xml:space="preserve"> fu coinvolto anche in altre occasioni nelle vicende riguardanti la selva di Ostiglia. Nell’820, infatti, in qualità di </w:t>
      </w:r>
      <w:r w:rsidRPr="0065171E">
        <w:rPr>
          <w:rFonts w:ascii="Times New Roman" w:hAnsi="Times New Roman" w:cs="Times New Roman"/>
          <w:i/>
        </w:rPr>
        <w:t>missus</w:t>
      </w:r>
      <w:r w:rsidRPr="0065171E">
        <w:rPr>
          <w:rFonts w:ascii="Times New Roman" w:hAnsi="Times New Roman" w:cs="Times New Roman"/>
        </w:rPr>
        <w:t xml:space="preserve"> imperiale, presiedette un placito a Pozzuolo sul Mincio nel quale si confrontavano gli interessi del monastero di Nonantola a quelli di Ucpaldo conte di Verona (Manaresi, 31; </w:t>
      </w:r>
      <w:r w:rsidRPr="0065171E">
        <w:rPr>
          <w:rFonts w:ascii="Times New Roman" w:hAnsi="Times New Roman" w:cs="Times New Roman"/>
          <w:smallCaps/>
        </w:rPr>
        <w:t>Castagnetti</w:t>
      </w:r>
      <w:r w:rsidRPr="0065171E">
        <w:rPr>
          <w:rFonts w:ascii="Times New Roman" w:hAnsi="Times New Roman" w:cs="Times New Roman"/>
        </w:rPr>
        <w:t xml:space="preserve"> 1990, p.</w:t>
      </w:r>
      <w:r w:rsidR="00024181" w:rsidRPr="0065171E">
        <w:rPr>
          <w:rFonts w:ascii="Times New Roman" w:hAnsi="Times New Roman" w:cs="Times New Roman"/>
        </w:rPr>
        <w:t>54</w:t>
      </w:r>
      <w:r w:rsidR="005014DC" w:rsidRPr="0065171E">
        <w:rPr>
          <w:rFonts w:ascii="Times New Roman" w:hAnsi="Times New Roman" w:cs="Times New Roman"/>
        </w:rPr>
        <w:t>; su Ratoldo vedi anche</w:t>
      </w:r>
      <w:r w:rsidR="006E0E80">
        <w:rPr>
          <w:rFonts w:ascii="Times New Roman" w:hAnsi="Times New Roman" w:cs="Times New Roman"/>
        </w:rPr>
        <w:t xml:space="preserve"> </w:t>
      </w:r>
      <w:r w:rsidR="006E0E80" w:rsidRPr="006E0E80">
        <w:rPr>
          <w:rFonts w:ascii="Times New Roman" w:hAnsi="Times New Roman" w:cs="Times New Roman"/>
          <w:u w:val="single"/>
        </w:rPr>
        <w:t>Veneto 2</w:t>
      </w:r>
      <w:r w:rsidR="006E0E80">
        <w:rPr>
          <w:rFonts w:ascii="Times New Roman" w:hAnsi="Times New Roman" w:cs="Times New Roman"/>
        </w:rPr>
        <w:t>: l’anno in cui ebbe luogo questo placito, si ricordi, è quello della deposizione di Ludovico il Pio a Soisson; le conseguenze di questo fatto, come si legge nel documento a cui si rimanda, coinvolsero in prima persona Ratoldo</w:t>
      </w:r>
      <w:r w:rsidR="00024181" w:rsidRPr="0065171E">
        <w:rPr>
          <w:rFonts w:ascii="Times New Roman" w:hAnsi="Times New Roman" w:cs="Times New Roman"/>
        </w:rPr>
        <w:t>)</w:t>
      </w:r>
    </w:p>
  </w:endnote>
  <w:endnote w:id="4">
    <w:p w14:paraId="1BB29965" w14:textId="77777777" w:rsidR="004B17C8" w:rsidRPr="0065171E" w:rsidRDefault="004B17C8" w:rsidP="005B63BF">
      <w:pPr>
        <w:pStyle w:val="Testonotadichiusura"/>
        <w:jc w:val="both"/>
        <w:rPr>
          <w:rFonts w:ascii="Times New Roman" w:hAnsi="Times New Roman" w:cs="Times New Roman"/>
        </w:rPr>
      </w:pPr>
      <w:r w:rsidRPr="0065171E">
        <w:rPr>
          <w:rStyle w:val="Rimandonotadichiusura"/>
          <w:rFonts w:ascii="Times New Roman" w:hAnsi="Times New Roman" w:cs="Times New Roman"/>
        </w:rPr>
        <w:endnoteRef/>
      </w:r>
      <w:r w:rsidRPr="0065171E">
        <w:rPr>
          <w:rFonts w:ascii="Times New Roman" w:hAnsi="Times New Roman" w:cs="Times New Roman"/>
        </w:rPr>
        <w:t xml:space="preserve"> Il conte Gorado è ricordato anche in </w:t>
      </w:r>
      <w:r w:rsidR="00091191" w:rsidRPr="0065171E">
        <w:rPr>
          <w:rFonts w:ascii="Times New Roman" w:hAnsi="Times New Roman" w:cs="Times New Roman"/>
          <w:u w:val="single"/>
        </w:rPr>
        <w:t>Veneto Inq 1</w:t>
      </w:r>
      <w:r w:rsidRPr="0065171E">
        <w:rPr>
          <w:rFonts w:ascii="Times New Roman" w:hAnsi="Times New Roman" w:cs="Times New Roman"/>
        </w:rPr>
        <w:t>, la cui datazione è incerta (</w:t>
      </w:r>
      <w:r w:rsidRPr="0065171E">
        <w:rPr>
          <w:rFonts w:ascii="Times New Roman" w:hAnsi="Times New Roman" w:cs="Times New Roman"/>
          <w:smallCaps/>
        </w:rPr>
        <w:t>Castagnetti</w:t>
      </w:r>
      <w:r w:rsidRPr="0065171E">
        <w:rPr>
          <w:rFonts w:ascii="Times New Roman" w:hAnsi="Times New Roman" w:cs="Times New Roman"/>
        </w:rPr>
        <w:t xml:space="preserve"> 1989, p. 22). Nell’827 fu coinvolto in </w:t>
      </w:r>
      <w:r w:rsidR="00013ACD" w:rsidRPr="0065171E">
        <w:rPr>
          <w:rFonts w:ascii="Times New Roman" w:hAnsi="Times New Roman" w:cs="Times New Roman"/>
        </w:rPr>
        <w:t>un’investitura</w:t>
      </w:r>
      <w:r w:rsidRPr="0065171E">
        <w:rPr>
          <w:rFonts w:ascii="Times New Roman" w:hAnsi="Times New Roman" w:cs="Times New Roman"/>
        </w:rPr>
        <w:t xml:space="preserve"> riguardante</w:t>
      </w:r>
      <w:r w:rsidR="00013ACD" w:rsidRPr="0065171E">
        <w:rPr>
          <w:rFonts w:ascii="Times New Roman" w:hAnsi="Times New Roman" w:cs="Times New Roman"/>
        </w:rPr>
        <w:t xml:space="preserve"> ancora</w:t>
      </w:r>
      <w:r w:rsidRPr="0065171E">
        <w:rPr>
          <w:rFonts w:ascii="Times New Roman" w:hAnsi="Times New Roman" w:cs="Times New Roman"/>
        </w:rPr>
        <w:t xml:space="preserve"> il t</w:t>
      </w:r>
      <w:r w:rsidR="00013ACD" w:rsidRPr="0065171E">
        <w:rPr>
          <w:rFonts w:ascii="Times New Roman" w:hAnsi="Times New Roman" w:cs="Times New Roman"/>
        </w:rPr>
        <w:t xml:space="preserve">erritorio di Ostiglia (Manaresi, p. 566, II: </w:t>
      </w:r>
      <w:r w:rsidR="00024181" w:rsidRPr="0065171E">
        <w:rPr>
          <w:rFonts w:ascii="Times New Roman" w:hAnsi="Times New Roman" w:cs="Times New Roman"/>
        </w:rPr>
        <w:t>beneficiario dell’investitura era</w:t>
      </w:r>
      <w:r w:rsidR="00013ACD" w:rsidRPr="0065171E">
        <w:rPr>
          <w:rFonts w:ascii="Times New Roman" w:hAnsi="Times New Roman" w:cs="Times New Roman"/>
        </w:rPr>
        <w:t xml:space="preserve"> il monastero di Nonantola; </w:t>
      </w:r>
      <w:r w:rsidR="00013ACD" w:rsidRPr="0065171E">
        <w:rPr>
          <w:rFonts w:ascii="Times New Roman" w:hAnsi="Times New Roman" w:cs="Times New Roman"/>
          <w:smallCaps/>
        </w:rPr>
        <w:t>Hlawitschka</w:t>
      </w:r>
      <w:r w:rsidR="00013ACD" w:rsidRPr="0065171E">
        <w:rPr>
          <w:rFonts w:ascii="Times New Roman" w:hAnsi="Times New Roman" w:cs="Times New Roman"/>
        </w:rPr>
        <w:t xml:space="preserve"> 1960, p. 282).</w:t>
      </w:r>
    </w:p>
  </w:endnote>
  <w:endnote w:id="5">
    <w:p w14:paraId="2DB36EFD" w14:textId="77777777" w:rsidR="00D6091A" w:rsidRPr="0065171E" w:rsidRDefault="00D6091A" w:rsidP="005B63BF">
      <w:pPr>
        <w:pStyle w:val="Testonotadichiusura"/>
        <w:jc w:val="both"/>
        <w:rPr>
          <w:rFonts w:ascii="Times New Roman" w:hAnsi="Times New Roman" w:cs="Times New Roman"/>
        </w:rPr>
      </w:pPr>
      <w:r w:rsidRPr="0065171E">
        <w:rPr>
          <w:rStyle w:val="Rimandonotadichiusura"/>
          <w:rFonts w:ascii="Times New Roman" w:hAnsi="Times New Roman" w:cs="Times New Roman"/>
        </w:rPr>
        <w:endnoteRef/>
      </w:r>
      <w:r w:rsidRPr="0065171E">
        <w:rPr>
          <w:rFonts w:ascii="Times New Roman" w:hAnsi="Times New Roman" w:cs="Times New Roman"/>
        </w:rPr>
        <w:t xml:space="preserve"> Gli interessi del monastero di San Zeno nella zona di Ostiglia sono documentati a partire dall’815, quando i diritti su quel territorio vengono confermati al monastero da Ludovico il Pio con un diploma (Fainelli, I, 117; v. </w:t>
      </w:r>
      <w:r w:rsidRPr="0065171E">
        <w:rPr>
          <w:rFonts w:ascii="Times New Roman" w:hAnsi="Times New Roman" w:cs="Times New Roman"/>
          <w:smallCaps/>
        </w:rPr>
        <w:t>Brugnoli</w:t>
      </w:r>
      <w:r w:rsidRPr="0065171E">
        <w:rPr>
          <w:rFonts w:ascii="Times New Roman" w:hAnsi="Times New Roman" w:cs="Times New Roman"/>
        </w:rPr>
        <w:t xml:space="preserve"> 2010, pp. 308-309).</w:t>
      </w:r>
      <w:r w:rsidR="00013ACD" w:rsidRPr="0065171E">
        <w:rPr>
          <w:rFonts w:ascii="Times New Roman" w:hAnsi="Times New Roman" w:cs="Times New Roman"/>
        </w:rPr>
        <w:t xml:space="preserve"> </w:t>
      </w:r>
      <w:r w:rsidR="00024181" w:rsidRPr="0065171E">
        <w:rPr>
          <w:rFonts w:ascii="Times New Roman" w:hAnsi="Times New Roman" w:cs="Times New Roman"/>
        </w:rPr>
        <w:t>Si tenga presente che la selva di Ostiglia apparteneva per un quarto e per la metà dei rimanenti tre quarti al monastero di Nonantola: i territori coinvolti in questa vertenza, dunque, erano verosimilmente compresi nella metà dei tre quarti non occupata dal monastero modenese (Manaresi, pp. 9-10).</w:t>
      </w:r>
    </w:p>
  </w:endnote>
  <w:endnote w:id="6">
    <w:p w14:paraId="57B5BBB2" w14:textId="77777777" w:rsidR="005014DC" w:rsidRPr="0065171E" w:rsidRDefault="005014DC" w:rsidP="005B63BF">
      <w:pPr>
        <w:pStyle w:val="Testonotadichiusura"/>
        <w:jc w:val="both"/>
        <w:rPr>
          <w:rFonts w:ascii="Times New Roman" w:hAnsi="Times New Roman" w:cs="Times New Roman"/>
        </w:rPr>
      </w:pPr>
      <w:r w:rsidRPr="0065171E">
        <w:rPr>
          <w:rStyle w:val="Rimandonotadichiusura"/>
          <w:rFonts w:ascii="Times New Roman" w:hAnsi="Times New Roman" w:cs="Times New Roman"/>
        </w:rPr>
        <w:endnoteRef/>
      </w:r>
      <w:r w:rsidRPr="0065171E">
        <w:rPr>
          <w:rFonts w:ascii="Times New Roman" w:hAnsi="Times New Roman" w:cs="Times New Roman"/>
        </w:rPr>
        <w:t xml:space="preserve"> Esempio in cui l’accusa si appoggia sulla presentazione di una testimonianza scritta, che è tanto più efficace quanto più – come in questo caso – è solenne (</w:t>
      </w:r>
      <w:r w:rsidRPr="0065171E">
        <w:rPr>
          <w:rFonts w:ascii="Times New Roman" w:hAnsi="Times New Roman" w:cs="Times New Roman"/>
          <w:smallCaps/>
        </w:rPr>
        <w:t>Bougard</w:t>
      </w:r>
      <w:r w:rsidRPr="0065171E">
        <w:rPr>
          <w:rFonts w:ascii="Times New Roman" w:hAnsi="Times New Roman" w:cs="Times New Roman"/>
        </w:rPr>
        <w:t xml:space="preserve"> 1995, p. 223</w:t>
      </w:r>
      <w:r w:rsidR="00091191" w:rsidRPr="0065171E">
        <w:rPr>
          <w:rFonts w:ascii="Times New Roman" w:hAnsi="Times New Roman" w:cs="Times New Roman"/>
        </w:rPr>
        <w:t xml:space="preserve">; si veda, più in generale, </w:t>
      </w:r>
      <w:r w:rsidR="00091191" w:rsidRPr="0065171E">
        <w:rPr>
          <w:rFonts w:ascii="Times New Roman" w:hAnsi="Times New Roman" w:cs="Times New Roman"/>
          <w:smallCaps/>
        </w:rPr>
        <w:t>Brown</w:t>
      </w:r>
      <w:r w:rsidR="00091191" w:rsidRPr="0065171E">
        <w:rPr>
          <w:rFonts w:ascii="Times New Roman" w:hAnsi="Times New Roman" w:cs="Times New Roman"/>
        </w:rPr>
        <w:t xml:space="preserve"> 2002a</w:t>
      </w:r>
      <w:r w:rsidRPr="0065171E">
        <w:rPr>
          <w:rFonts w:ascii="Times New Roman" w:hAnsi="Times New Roman" w:cs="Times New Roman"/>
        </w:rPr>
        <w:t>)</w:t>
      </w:r>
    </w:p>
  </w:endnote>
  <w:endnote w:id="7">
    <w:p w14:paraId="71EE890F" w14:textId="77777777" w:rsidR="00CC168A" w:rsidRPr="0065171E" w:rsidRDefault="00CC168A" w:rsidP="005B63BF">
      <w:pPr>
        <w:pStyle w:val="Testonotadichiusura"/>
        <w:jc w:val="both"/>
        <w:rPr>
          <w:rFonts w:ascii="Times New Roman" w:hAnsi="Times New Roman" w:cs="Times New Roman"/>
        </w:rPr>
      </w:pPr>
      <w:r w:rsidRPr="0065171E">
        <w:rPr>
          <w:rStyle w:val="Rimandonotadichiusura"/>
          <w:rFonts w:ascii="Times New Roman" w:hAnsi="Times New Roman" w:cs="Times New Roman"/>
        </w:rPr>
        <w:endnoteRef/>
      </w:r>
      <w:r w:rsidRPr="0065171E">
        <w:rPr>
          <w:rFonts w:ascii="Times New Roman" w:hAnsi="Times New Roman" w:cs="Times New Roman"/>
        </w:rPr>
        <w:t xml:space="preserve"> Predecessore di Gorado, </w:t>
      </w:r>
      <w:r w:rsidRPr="0065171E">
        <w:rPr>
          <w:rFonts w:ascii="Times New Roman" w:hAnsi="Times New Roman" w:cs="Times New Roman"/>
          <w:smallCaps/>
        </w:rPr>
        <w:t>Hlawitschka</w:t>
      </w:r>
      <w:r w:rsidRPr="0065171E">
        <w:rPr>
          <w:rFonts w:ascii="Times New Roman" w:hAnsi="Times New Roman" w:cs="Times New Roman"/>
        </w:rPr>
        <w:t xml:space="preserve"> 1960, pp. 292-293, propone di identificarlo</w:t>
      </w:r>
      <w:r w:rsidR="003D312B" w:rsidRPr="0065171E">
        <w:rPr>
          <w:rFonts w:ascii="Times New Roman" w:hAnsi="Times New Roman" w:cs="Times New Roman"/>
        </w:rPr>
        <w:t xml:space="preserve"> con il Vulfinus nominato in una lettera del 779/780 di papa Adriano I a Carlo Magno, nella quale lamenta la presenza di Napoletani e Greci a Terracina e chiede che Vulfinus sia inviato in quei luoghi per recuperarli al papato: MGH, </w:t>
      </w:r>
      <w:r w:rsidR="002E6074" w:rsidRPr="0065171E">
        <w:rPr>
          <w:rFonts w:ascii="Times New Roman" w:hAnsi="Times New Roman" w:cs="Times New Roman"/>
          <w:i/>
        </w:rPr>
        <w:t>Epistolae</w:t>
      </w:r>
      <w:r w:rsidR="002134B9" w:rsidRPr="0065171E">
        <w:rPr>
          <w:rFonts w:ascii="Times New Roman" w:hAnsi="Times New Roman" w:cs="Times New Roman"/>
        </w:rPr>
        <w:t xml:space="preserve">., III, </w:t>
      </w:r>
      <w:r w:rsidR="002134B9" w:rsidRPr="0065171E">
        <w:rPr>
          <w:rFonts w:ascii="Times New Roman" w:hAnsi="Times New Roman" w:cs="Times New Roman"/>
          <w:i/>
        </w:rPr>
        <w:t>Co</w:t>
      </w:r>
      <w:r w:rsidR="003D312B" w:rsidRPr="0065171E">
        <w:rPr>
          <w:rFonts w:ascii="Times New Roman" w:hAnsi="Times New Roman" w:cs="Times New Roman"/>
          <w:i/>
        </w:rPr>
        <w:t>dex Carolinus</w:t>
      </w:r>
      <w:r w:rsidR="003D312B" w:rsidRPr="0065171E">
        <w:rPr>
          <w:rFonts w:ascii="Times New Roman" w:hAnsi="Times New Roman" w:cs="Times New Roman"/>
        </w:rPr>
        <w:t>, n. 64, p. 591-592</w:t>
      </w:r>
      <w:r w:rsidR="002134B9" w:rsidRPr="0065171E">
        <w:rPr>
          <w:rFonts w:ascii="Times New Roman" w:hAnsi="Times New Roman" w:cs="Times New Roman"/>
        </w:rPr>
        <w:t>.</w:t>
      </w:r>
      <w:r w:rsidR="006D3B49">
        <w:rPr>
          <w:rFonts w:ascii="Times New Roman" w:hAnsi="Times New Roman" w:cs="Times New Roman"/>
        </w:rPr>
        <w:t xml:space="preserve"> </w:t>
      </w:r>
      <w:bookmarkStart w:id="0" w:name="_GoBack"/>
      <w:bookmarkEnd w:id="0"/>
      <w:r w:rsidR="006D3B49" w:rsidRPr="00E61A0E">
        <w:rPr>
          <w:rFonts w:ascii="Times New Roman" w:hAnsi="Times New Roman" w:cs="Times New Roman"/>
        </w:rPr>
        <w:t xml:space="preserve">Vedi anche </w:t>
      </w:r>
      <w:r w:rsidR="006D3B49" w:rsidRPr="00E61A0E">
        <w:rPr>
          <w:rFonts w:ascii="Times New Roman" w:hAnsi="Times New Roman" w:cs="Times New Roman"/>
          <w:u w:val="single"/>
        </w:rPr>
        <w:t>Veneto 2</w:t>
      </w:r>
      <w:r w:rsidR="006D3B49" w:rsidRPr="00E61A0E">
        <w:rPr>
          <w:rFonts w:ascii="Times New Roman" w:hAnsi="Times New Roman" w:cs="Times New Roman"/>
        </w:rPr>
        <w:t>.</w:t>
      </w:r>
    </w:p>
  </w:endnote>
  <w:endnote w:id="8">
    <w:p w14:paraId="670CE5C7" w14:textId="77777777" w:rsidR="00E110C4" w:rsidRPr="000D6869" w:rsidRDefault="00E110C4" w:rsidP="0065171E">
      <w:pPr>
        <w:pStyle w:val="Testonotadichiusura"/>
        <w:tabs>
          <w:tab w:val="left" w:pos="5412"/>
        </w:tabs>
        <w:jc w:val="both"/>
        <w:rPr>
          <w:rFonts w:ascii="Times New Roman" w:hAnsi="Times New Roman" w:cs="Times New Roman"/>
        </w:rPr>
      </w:pPr>
      <w:r w:rsidRPr="0065171E">
        <w:rPr>
          <w:rStyle w:val="Rimandonotadichiusura"/>
          <w:rFonts w:ascii="Times New Roman" w:hAnsi="Times New Roman" w:cs="Times New Roman"/>
        </w:rPr>
        <w:endnoteRef/>
      </w:r>
      <w:r w:rsidRPr="002D3031">
        <w:rPr>
          <w:rFonts w:ascii="Times New Roman" w:hAnsi="Times New Roman" w:cs="Times New Roman"/>
          <w:lang w:val="en-US"/>
        </w:rPr>
        <w:t xml:space="preserve"> Cunipertus (790-800) (</w:t>
      </w:r>
      <w:r w:rsidRPr="002D3031">
        <w:rPr>
          <w:rFonts w:ascii="Times New Roman" w:hAnsi="Times New Roman" w:cs="Times New Roman"/>
          <w:smallCaps/>
          <w:lang w:val="en-US"/>
        </w:rPr>
        <w:t>Gams</w:t>
      </w:r>
      <w:r w:rsidRPr="002D3031">
        <w:rPr>
          <w:rFonts w:ascii="Times New Roman" w:hAnsi="Times New Roman" w:cs="Times New Roman"/>
          <w:lang w:val="en-US"/>
        </w:rPr>
        <w:t xml:space="preserve"> 1857, p. 779</w:t>
      </w:r>
      <w:r w:rsidR="002D3031" w:rsidRPr="002D3031">
        <w:rPr>
          <w:rFonts w:ascii="Times New Roman" w:hAnsi="Times New Roman" w:cs="Times New Roman"/>
          <w:lang w:val="en-US"/>
        </w:rPr>
        <w:t xml:space="preserve">; </w:t>
      </w:r>
      <w:r w:rsidR="002D3031" w:rsidRPr="002D3031">
        <w:rPr>
          <w:rFonts w:ascii="Times New Roman" w:hAnsi="Times New Roman" w:cs="Times New Roman"/>
          <w:smallCaps/>
          <w:lang w:val="en-US"/>
        </w:rPr>
        <w:t>Mor</w:t>
      </w:r>
      <w:r w:rsidR="002D3031" w:rsidRPr="002D3031">
        <w:rPr>
          <w:rFonts w:ascii="Times New Roman" w:hAnsi="Times New Roman" w:cs="Times New Roman"/>
          <w:lang w:val="en-US"/>
        </w:rPr>
        <w:t xml:space="preserve"> 1964, p, 69</w:t>
      </w:r>
      <w:r w:rsidRPr="002D3031">
        <w:rPr>
          <w:rFonts w:ascii="Times New Roman" w:hAnsi="Times New Roman" w:cs="Times New Roman"/>
          <w:lang w:val="en-US"/>
        </w:rPr>
        <w:t>).</w:t>
      </w:r>
      <w:r w:rsidR="000D6869" w:rsidRPr="002D3031">
        <w:rPr>
          <w:rFonts w:ascii="Times New Roman" w:hAnsi="Times New Roman" w:cs="Times New Roman"/>
          <w:lang w:val="en-US"/>
        </w:rPr>
        <w:t xml:space="preserve"> </w:t>
      </w:r>
      <w:r w:rsidR="000D6869" w:rsidRPr="000D6869">
        <w:rPr>
          <w:rFonts w:ascii="Times New Roman" w:hAnsi="Times New Roman" w:cs="Times New Roman"/>
        </w:rPr>
        <w:t xml:space="preserve">Secondo </w:t>
      </w:r>
      <w:r w:rsidR="000D6869" w:rsidRPr="000D6869">
        <w:rPr>
          <w:rFonts w:ascii="Times New Roman" w:hAnsi="Times New Roman" w:cs="Times New Roman"/>
          <w:smallCaps/>
        </w:rPr>
        <w:t>Zetler</w:t>
      </w:r>
      <w:r w:rsidR="000D6869" w:rsidRPr="000D6869">
        <w:rPr>
          <w:rFonts w:ascii="Times New Roman" w:hAnsi="Times New Roman" w:cs="Times New Roman"/>
        </w:rPr>
        <w:t xml:space="preserve"> 2009 (p. 110), il vescovo Cuniperto di Bresc</w:t>
      </w:r>
      <w:r w:rsidR="000D6869">
        <w:rPr>
          <w:rFonts w:ascii="Times New Roman" w:hAnsi="Times New Roman" w:cs="Times New Roman"/>
        </w:rPr>
        <w:t xml:space="preserve">ia era probabilmente parente di Walpert, conte di Verona (su Walpert si veda anche </w:t>
      </w:r>
      <w:r w:rsidR="000D6869" w:rsidRPr="00EB35C8">
        <w:rPr>
          <w:rFonts w:ascii="Times New Roman" w:hAnsi="Times New Roman" w:cs="Times New Roman"/>
          <w:smallCaps/>
        </w:rPr>
        <w:t>Hlawitschka</w:t>
      </w:r>
      <w:r w:rsidR="00EB35C8">
        <w:rPr>
          <w:rFonts w:ascii="Times New Roman" w:hAnsi="Times New Roman" w:cs="Times New Roman"/>
        </w:rPr>
        <w:t xml:space="preserve"> 1960</w:t>
      </w:r>
      <w:r w:rsidR="000D6869">
        <w:rPr>
          <w:rFonts w:ascii="Times New Roman" w:hAnsi="Times New Roman" w:cs="Times New Roman"/>
        </w:rPr>
        <w:t xml:space="preserve">, pp. </w:t>
      </w:r>
      <w:r w:rsidR="00EB35C8">
        <w:rPr>
          <w:rFonts w:ascii="Times New Roman" w:hAnsi="Times New Roman" w:cs="Times New Roman"/>
        </w:rPr>
        <w:t>278-279</w:t>
      </w:r>
      <w:r w:rsidR="002D3031">
        <w:rPr>
          <w:rFonts w:ascii="Times New Roman" w:hAnsi="Times New Roman" w:cs="Times New Roman"/>
        </w:rPr>
        <w:t xml:space="preserve">). </w:t>
      </w:r>
    </w:p>
  </w:endnote>
  <w:endnote w:id="9">
    <w:p w14:paraId="74D801B2" w14:textId="77777777" w:rsidR="00E110C4" w:rsidRDefault="00E110C4" w:rsidP="005B63BF">
      <w:pPr>
        <w:pStyle w:val="Testonotadichiusura"/>
        <w:jc w:val="both"/>
        <w:rPr>
          <w:rFonts w:ascii="Times New Roman" w:hAnsi="Times New Roman" w:cs="Times New Roman"/>
          <w:lang w:val="en-US"/>
        </w:rPr>
      </w:pPr>
      <w:r w:rsidRPr="0065171E">
        <w:rPr>
          <w:rStyle w:val="Rimandonotadichiusura"/>
          <w:rFonts w:ascii="Times New Roman" w:hAnsi="Times New Roman" w:cs="Times New Roman"/>
        </w:rPr>
        <w:endnoteRef/>
      </w:r>
      <w:r w:rsidRPr="0065171E">
        <w:rPr>
          <w:rFonts w:ascii="Times New Roman" w:hAnsi="Times New Roman" w:cs="Times New Roman"/>
          <w:lang w:val="en-US"/>
        </w:rPr>
        <w:t xml:space="preserve"> Petrus (813-815) (</w:t>
      </w:r>
      <w:r w:rsidRPr="0065171E">
        <w:rPr>
          <w:rFonts w:ascii="Times New Roman" w:hAnsi="Times New Roman" w:cs="Times New Roman"/>
          <w:smallCaps/>
          <w:lang w:val="en-US"/>
        </w:rPr>
        <w:t>Gams</w:t>
      </w:r>
      <w:r w:rsidRPr="0065171E">
        <w:rPr>
          <w:rFonts w:ascii="Times New Roman" w:hAnsi="Times New Roman" w:cs="Times New Roman"/>
          <w:lang w:val="en-US"/>
        </w:rPr>
        <w:t xml:space="preserve"> 1857, p. 779).</w:t>
      </w:r>
    </w:p>
    <w:p w14:paraId="1DC5F3EA" w14:textId="77777777" w:rsidR="00D06C8E" w:rsidRDefault="00D06C8E" w:rsidP="005B63BF">
      <w:pPr>
        <w:pStyle w:val="Testonotadichiusura"/>
        <w:jc w:val="both"/>
        <w:rPr>
          <w:rFonts w:ascii="Times New Roman" w:hAnsi="Times New Roman" w:cs="Times New Roman"/>
          <w:lang w:val="en-US"/>
        </w:rPr>
      </w:pPr>
    </w:p>
    <w:p w14:paraId="4E2B215D" w14:textId="77777777" w:rsidR="00D06C8E" w:rsidRPr="0065171E" w:rsidRDefault="00D06C8E" w:rsidP="005B63BF">
      <w:pPr>
        <w:pStyle w:val="Testonotadichiusura"/>
        <w:jc w:val="both"/>
        <w:rPr>
          <w:rFonts w:ascii="Times New Roman" w:hAnsi="Times New Roman" w:cs="Times New Roman"/>
          <w:lang w:val="en-US"/>
        </w:rPr>
      </w:pPr>
      <w:r>
        <w:rPr>
          <w:rFonts w:ascii="Times New Roman" w:hAnsi="Times New Roman" w:cs="Times New Roman"/>
          <w:lang w:val="en-US"/>
        </w:rPr>
        <w:t>C.P.</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049690" w14:textId="77777777" w:rsidR="004641F3" w:rsidRDefault="004641F3" w:rsidP="00A30F18">
      <w:pPr>
        <w:spacing w:after="0" w:line="240" w:lineRule="auto"/>
      </w:pPr>
      <w:r>
        <w:separator/>
      </w:r>
    </w:p>
  </w:footnote>
  <w:footnote w:type="continuationSeparator" w:id="0">
    <w:p w14:paraId="6B353D60" w14:textId="77777777" w:rsidR="004641F3" w:rsidRDefault="004641F3" w:rsidP="00A30F18">
      <w:pPr>
        <w:spacing w:after="0" w:line="240" w:lineRule="auto"/>
      </w:pPr>
      <w:r>
        <w:continuationSeparator/>
      </w:r>
    </w:p>
  </w:footnote>
  <w:footnote w:id="1">
    <w:p w14:paraId="7E0DA61D" w14:textId="77777777" w:rsidR="00A30F18" w:rsidRDefault="00A30F18">
      <w:pPr>
        <w:pStyle w:val="Testonotaapidipagina"/>
      </w:pPr>
      <w:r>
        <w:rPr>
          <w:rStyle w:val="Rimandonotaapidipagina"/>
        </w:rPr>
        <w:footnoteRef/>
      </w:r>
      <w:r w:rsidR="00F26D19">
        <w:t xml:space="preserve"> </w:t>
      </w:r>
      <w:r w:rsidR="00F26D19" w:rsidRPr="00091191">
        <w:rPr>
          <w:i/>
        </w:rPr>
        <w:t>Manaresi pospone</w:t>
      </w:r>
      <w:r w:rsidR="00091191">
        <w:t xml:space="preserve"> locum</w:t>
      </w:r>
      <w:r>
        <w:t>.</w:t>
      </w:r>
    </w:p>
  </w:footnote>
  <w:footnote w:id="2">
    <w:p w14:paraId="6CAA97D3" w14:textId="77777777" w:rsidR="00A30F18" w:rsidRDefault="00A30F18">
      <w:pPr>
        <w:pStyle w:val="Testonotaapidipagina"/>
      </w:pPr>
      <w:r>
        <w:rPr>
          <w:rStyle w:val="Rimandonotaapidipagina"/>
        </w:rPr>
        <w:footnoteRef/>
      </w:r>
      <w:r w:rsidR="00F26D19">
        <w:t xml:space="preserve"> </w:t>
      </w:r>
      <w:r w:rsidR="00F26D19" w:rsidRPr="00091191">
        <w:rPr>
          <w:i/>
        </w:rPr>
        <w:t>In Manaresi</w:t>
      </w:r>
      <w:r w:rsidR="00091191">
        <w:t xml:space="preserve"> causationibus</w:t>
      </w:r>
      <w:r>
        <w:t>.</w:t>
      </w:r>
    </w:p>
  </w:footnote>
  <w:footnote w:id="3">
    <w:p w14:paraId="678F6C11" w14:textId="77777777" w:rsidR="00A30F18" w:rsidRDefault="00A30F18">
      <w:pPr>
        <w:pStyle w:val="Testonotaapidipagina"/>
      </w:pPr>
      <w:r>
        <w:rPr>
          <w:rStyle w:val="Rimandonotaapidipagina"/>
        </w:rPr>
        <w:footnoteRef/>
      </w:r>
      <w:r>
        <w:t xml:space="preserve"> </w:t>
      </w:r>
      <w:r w:rsidRPr="00091191">
        <w:rPr>
          <w:i/>
        </w:rPr>
        <w:t>In</w:t>
      </w:r>
      <w:r>
        <w:t xml:space="preserve"> </w:t>
      </w:r>
      <w:r w:rsidRPr="00091191">
        <w:rPr>
          <w:i/>
        </w:rPr>
        <w:t>Manaresi</w:t>
      </w:r>
      <w:r w:rsidR="00091191">
        <w:t xml:space="preserve"> adimendis</w:t>
      </w:r>
      <w:r>
        <w:t>.</w:t>
      </w:r>
    </w:p>
  </w:footnote>
  <w:footnote w:id="4">
    <w:p w14:paraId="0431B01B" w14:textId="77777777" w:rsidR="00A30F18" w:rsidRDefault="00A30F18">
      <w:pPr>
        <w:pStyle w:val="Testonotaapidipagina"/>
      </w:pPr>
      <w:r>
        <w:rPr>
          <w:rStyle w:val="Rimandonotaapidipagina"/>
        </w:rPr>
        <w:footnoteRef/>
      </w:r>
      <w:r>
        <w:t xml:space="preserve"> </w:t>
      </w:r>
      <w:r w:rsidRPr="00091191">
        <w:rPr>
          <w:i/>
        </w:rPr>
        <w:t>In</w:t>
      </w:r>
      <w:r>
        <w:t xml:space="preserve"> </w:t>
      </w:r>
      <w:r w:rsidRPr="00091191">
        <w:rPr>
          <w:i/>
        </w:rPr>
        <w:t>Manaresi</w:t>
      </w:r>
      <w:r w:rsidR="00091191">
        <w:t xml:space="preserve"> hanc</w:t>
      </w:r>
      <w:r>
        <w:t>.</w:t>
      </w:r>
    </w:p>
  </w:footnote>
  <w:footnote w:id="5">
    <w:p w14:paraId="013DACD1" w14:textId="77777777" w:rsidR="00A30F18" w:rsidRDefault="00A30F18">
      <w:pPr>
        <w:pStyle w:val="Testonotaapidipagina"/>
      </w:pPr>
      <w:r>
        <w:rPr>
          <w:rStyle w:val="Rimandonotaapidipagina"/>
        </w:rPr>
        <w:footnoteRef/>
      </w:r>
      <w:r>
        <w:t xml:space="preserve"> </w:t>
      </w:r>
      <w:r w:rsidRPr="00091191">
        <w:rPr>
          <w:i/>
        </w:rPr>
        <w:t>In Manaresi</w:t>
      </w:r>
      <w:r w:rsidR="00091191">
        <w:t xml:space="preserve"> </w:t>
      </w:r>
      <w:r>
        <w:t>sancimus.</w:t>
      </w:r>
    </w:p>
  </w:footnote>
  <w:footnote w:id="6">
    <w:p w14:paraId="361B7976" w14:textId="77777777" w:rsidR="00A30F18" w:rsidRDefault="00A30F18">
      <w:pPr>
        <w:pStyle w:val="Testonotaapidipagina"/>
      </w:pPr>
      <w:r>
        <w:rPr>
          <w:rStyle w:val="Rimandonotaapidipagina"/>
        </w:rPr>
        <w:footnoteRef/>
      </w:r>
      <w:r>
        <w:t xml:space="preserve"> </w:t>
      </w:r>
      <w:r w:rsidRPr="00091191">
        <w:rPr>
          <w:i/>
        </w:rPr>
        <w:t>In Manaresi</w:t>
      </w:r>
      <w:r w:rsidR="00091191">
        <w:t xml:space="preserve"> </w:t>
      </w:r>
      <w:r>
        <w:t>amministrationis.</w:t>
      </w:r>
    </w:p>
  </w:footnote>
  <w:footnote w:id="7">
    <w:p w14:paraId="570F6BCC" w14:textId="77777777" w:rsidR="00A30F18" w:rsidRDefault="00A30F18">
      <w:pPr>
        <w:pStyle w:val="Testonotaapidipagina"/>
      </w:pPr>
      <w:r>
        <w:rPr>
          <w:rStyle w:val="Rimandonotaapidipagina"/>
        </w:rPr>
        <w:footnoteRef/>
      </w:r>
      <w:r>
        <w:t xml:space="preserve"> </w:t>
      </w:r>
      <w:r w:rsidRPr="00091191">
        <w:rPr>
          <w:i/>
        </w:rPr>
        <w:t>In Manaresi</w:t>
      </w:r>
      <w:r w:rsidR="00091191">
        <w:t xml:space="preserve"> </w:t>
      </w:r>
      <w:r>
        <w:t>Dructemirus.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6E2"/>
    <w:rsid w:val="000105B3"/>
    <w:rsid w:val="00013ACD"/>
    <w:rsid w:val="00024181"/>
    <w:rsid w:val="00036BB6"/>
    <w:rsid w:val="00091191"/>
    <w:rsid w:val="000D5BE3"/>
    <w:rsid w:val="000D6869"/>
    <w:rsid w:val="00200096"/>
    <w:rsid w:val="002134B9"/>
    <w:rsid w:val="002666A5"/>
    <w:rsid w:val="002D3031"/>
    <w:rsid w:val="002E6074"/>
    <w:rsid w:val="00333148"/>
    <w:rsid w:val="00375B84"/>
    <w:rsid w:val="003B77B7"/>
    <w:rsid w:val="003D312B"/>
    <w:rsid w:val="004231B5"/>
    <w:rsid w:val="004641F3"/>
    <w:rsid w:val="00490F73"/>
    <w:rsid w:val="004B17C8"/>
    <w:rsid w:val="004B70E7"/>
    <w:rsid w:val="005014DC"/>
    <w:rsid w:val="005813F9"/>
    <w:rsid w:val="005B63BF"/>
    <w:rsid w:val="005D78FF"/>
    <w:rsid w:val="005E6A5E"/>
    <w:rsid w:val="00624753"/>
    <w:rsid w:val="0065171E"/>
    <w:rsid w:val="00656D4F"/>
    <w:rsid w:val="0069494E"/>
    <w:rsid w:val="006B4653"/>
    <w:rsid w:val="006D3B49"/>
    <w:rsid w:val="006E0E80"/>
    <w:rsid w:val="006F0BD3"/>
    <w:rsid w:val="0070703D"/>
    <w:rsid w:val="00710949"/>
    <w:rsid w:val="00744D48"/>
    <w:rsid w:val="00745FBE"/>
    <w:rsid w:val="00781762"/>
    <w:rsid w:val="007A5DE8"/>
    <w:rsid w:val="007A744A"/>
    <w:rsid w:val="007F42F6"/>
    <w:rsid w:val="00841809"/>
    <w:rsid w:val="00842976"/>
    <w:rsid w:val="008C0871"/>
    <w:rsid w:val="00923D3E"/>
    <w:rsid w:val="0092670C"/>
    <w:rsid w:val="00936039"/>
    <w:rsid w:val="009915F0"/>
    <w:rsid w:val="009E3008"/>
    <w:rsid w:val="00A0668E"/>
    <w:rsid w:val="00A30F18"/>
    <w:rsid w:val="00A76CF0"/>
    <w:rsid w:val="00AB2F88"/>
    <w:rsid w:val="00AE324D"/>
    <w:rsid w:val="00C161D8"/>
    <w:rsid w:val="00C214A5"/>
    <w:rsid w:val="00C239D1"/>
    <w:rsid w:val="00C35AF5"/>
    <w:rsid w:val="00C556E2"/>
    <w:rsid w:val="00C640D1"/>
    <w:rsid w:val="00CC168A"/>
    <w:rsid w:val="00CF118A"/>
    <w:rsid w:val="00CF5289"/>
    <w:rsid w:val="00D06C8E"/>
    <w:rsid w:val="00D57F33"/>
    <w:rsid w:val="00D6091A"/>
    <w:rsid w:val="00D61C60"/>
    <w:rsid w:val="00DF505D"/>
    <w:rsid w:val="00E110C4"/>
    <w:rsid w:val="00E61A0E"/>
    <w:rsid w:val="00E81581"/>
    <w:rsid w:val="00E9327A"/>
    <w:rsid w:val="00EB35C8"/>
    <w:rsid w:val="00EC539C"/>
    <w:rsid w:val="00F26D19"/>
    <w:rsid w:val="00F7604B"/>
    <w:rsid w:val="00FB74D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3CD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A30F18"/>
    <w:pPr>
      <w:spacing w:after="0" w:line="240" w:lineRule="auto"/>
    </w:pPr>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A30F18"/>
    <w:rPr>
      <w:sz w:val="20"/>
      <w:szCs w:val="20"/>
    </w:rPr>
  </w:style>
  <w:style w:type="character" w:styleId="Rimandonotaapidipagina">
    <w:name w:val="footnote reference"/>
    <w:basedOn w:val="Caratterepredefinitoparagrafo"/>
    <w:uiPriority w:val="99"/>
    <w:semiHidden/>
    <w:unhideWhenUsed/>
    <w:rsid w:val="00A30F18"/>
    <w:rPr>
      <w:vertAlign w:val="superscript"/>
    </w:rPr>
  </w:style>
  <w:style w:type="paragraph" w:styleId="Testonotadichiusura">
    <w:name w:val="endnote text"/>
    <w:basedOn w:val="Normale"/>
    <w:link w:val="TestonotadichiusuraCarattere"/>
    <w:uiPriority w:val="99"/>
    <w:semiHidden/>
    <w:unhideWhenUsed/>
    <w:rsid w:val="00D6091A"/>
    <w:pPr>
      <w:spacing w:after="0" w:line="240" w:lineRule="auto"/>
    </w:pPr>
    <w:rPr>
      <w:sz w:val="20"/>
      <w:szCs w:val="20"/>
    </w:rPr>
  </w:style>
  <w:style w:type="character" w:customStyle="1" w:styleId="TestonotadichiusuraCarattere">
    <w:name w:val="Testo nota di chiusura Carattere"/>
    <w:basedOn w:val="Caratterepredefinitoparagrafo"/>
    <w:link w:val="Testonotadichiusura"/>
    <w:uiPriority w:val="99"/>
    <w:semiHidden/>
    <w:rsid w:val="00D6091A"/>
    <w:rPr>
      <w:sz w:val="20"/>
      <w:szCs w:val="20"/>
    </w:rPr>
  </w:style>
  <w:style w:type="character" w:styleId="Rimandonotadichiusura">
    <w:name w:val="endnote reference"/>
    <w:basedOn w:val="Caratterepredefinitoparagrafo"/>
    <w:uiPriority w:val="99"/>
    <w:semiHidden/>
    <w:unhideWhenUsed/>
    <w:rsid w:val="00D6091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A30F18"/>
    <w:pPr>
      <w:spacing w:after="0" w:line="240" w:lineRule="auto"/>
    </w:pPr>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A30F18"/>
    <w:rPr>
      <w:sz w:val="20"/>
      <w:szCs w:val="20"/>
    </w:rPr>
  </w:style>
  <w:style w:type="character" w:styleId="Rimandonotaapidipagina">
    <w:name w:val="footnote reference"/>
    <w:basedOn w:val="Caratterepredefinitoparagrafo"/>
    <w:uiPriority w:val="99"/>
    <w:semiHidden/>
    <w:unhideWhenUsed/>
    <w:rsid w:val="00A30F18"/>
    <w:rPr>
      <w:vertAlign w:val="superscript"/>
    </w:rPr>
  </w:style>
  <w:style w:type="paragraph" w:styleId="Testonotadichiusura">
    <w:name w:val="endnote text"/>
    <w:basedOn w:val="Normale"/>
    <w:link w:val="TestonotadichiusuraCarattere"/>
    <w:uiPriority w:val="99"/>
    <w:semiHidden/>
    <w:unhideWhenUsed/>
    <w:rsid w:val="00D6091A"/>
    <w:pPr>
      <w:spacing w:after="0" w:line="240" w:lineRule="auto"/>
    </w:pPr>
    <w:rPr>
      <w:sz w:val="20"/>
      <w:szCs w:val="20"/>
    </w:rPr>
  </w:style>
  <w:style w:type="character" w:customStyle="1" w:styleId="TestonotadichiusuraCarattere">
    <w:name w:val="Testo nota di chiusura Carattere"/>
    <w:basedOn w:val="Caratterepredefinitoparagrafo"/>
    <w:link w:val="Testonotadichiusura"/>
    <w:uiPriority w:val="99"/>
    <w:semiHidden/>
    <w:rsid w:val="00D6091A"/>
    <w:rPr>
      <w:sz w:val="20"/>
      <w:szCs w:val="20"/>
    </w:rPr>
  </w:style>
  <w:style w:type="character" w:styleId="Rimandonotadichiusura">
    <w:name w:val="endnote reference"/>
    <w:basedOn w:val="Caratterepredefinitoparagrafo"/>
    <w:uiPriority w:val="99"/>
    <w:semiHidden/>
    <w:unhideWhenUsed/>
    <w:rsid w:val="00D609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4F823-EA70-CB49-8808-0DAF2986D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737</Words>
  <Characters>4205</Characters>
  <Application>Microsoft Macintosh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Fidel Mbanga Bauna</cp:lastModifiedBy>
  <cp:revision>3</cp:revision>
  <dcterms:created xsi:type="dcterms:W3CDTF">2016-04-01T10:57:00Z</dcterms:created>
  <dcterms:modified xsi:type="dcterms:W3CDTF">2016-04-25T14:33:00Z</dcterms:modified>
</cp:coreProperties>
</file>