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703F24" w14:textId="77777777" w:rsidR="00573C8A" w:rsidRDefault="00A31AB5" w:rsidP="00A31AB5">
      <w:pPr>
        <w:jc w:val="center"/>
      </w:pPr>
      <w:r>
        <w:t>2</w:t>
      </w:r>
    </w:p>
    <w:p w14:paraId="79334368" w14:textId="77777777" w:rsidR="00CE63BF" w:rsidRDefault="00CE63BF" w:rsidP="00573C8A">
      <w:pPr>
        <w:jc w:val="both"/>
      </w:pPr>
    </w:p>
    <w:p w14:paraId="3EADEC62" w14:textId="77777777" w:rsidR="00573C8A" w:rsidRDefault="00573C8A" w:rsidP="00A31AB5">
      <w:pPr>
        <w:jc w:val="center"/>
      </w:pPr>
      <w:r>
        <w:t>806 aprile, Verona.</w:t>
      </w:r>
    </w:p>
    <w:p w14:paraId="31525254" w14:textId="77777777" w:rsidR="00573C8A" w:rsidRDefault="00573C8A" w:rsidP="00573C8A">
      <w:pPr>
        <w:jc w:val="both"/>
      </w:pPr>
    </w:p>
    <w:p w14:paraId="3E2D3B7B" w14:textId="77777777" w:rsidR="00BA774F" w:rsidRPr="00BA774F" w:rsidRDefault="00BA774F" w:rsidP="00BA774F">
      <w:pPr>
        <w:jc w:val="both"/>
      </w:pPr>
      <w:r w:rsidRPr="00BA774F">
        <w:t xml:space="preserve">Nel processo presieduto </w:t>
      </w:r>
      <w:r w:rsidR="00774C19">
        <w:t>dal conte Hademar e dal vescovo Rataldus</w:t>
      </w:r>
      <w:r w:rsidRPr="00BA774F">
        <w:t xml:space="preserve"> e di fronte a tre scabini,</w:t>
      </w:r>
      <w:r w:rsidR="000331BA">
        <w:t xml:space="preserve"> la chiesa</w:t>
      </w:r>
      <w:r w:rsidRPr="00BA774F">
        <w:t xml:space="preserve"> di San Zeno, ra</w:t>
      </w:r>
      <w:r w:rsidR="000331BA">
        <w:t>ppresentata</w:t>
      </w:r>
      <w:r w:rsidR="00774C19">
        <w:t xml:space="preserve"> dal vicedomino Paulus</w:t>
      </w:r>
      <w:r w:rsidRPr="00BA774F">
        <w:t>, cerca di dimostrare i suoi diritti nel luogo detto “Rupta Adelmi”, contro le pretese del fisco regio, rap</w:t>
      </w:r>
      <w:r w:rsidR="00774C19">
        <w:t>presentato dal gastaldo Gaufre</w:t>
      </w:r>
      <w:r w:rsidRPr="00BA774F">
        <w:t xml:space="preserve">. Il collegio giudicante appoggia la richiesta del monastero, </w:t>
      </w:r>
      <w:r w:rsidR="00774C19">
        <w:t>in seguito</w:t>
      </w:r>
      <w:r w:rsidRPr="00BA774F">
        <w:t xml:space="preserve"> </w:t>
      </w:r>
      <w:r w:rsidR="00774C19">
        <w:t>a</w:t>
      </w:r>
      <w:r w:rsidRPr="00BA774F">
        <w:t xml:space="preserve">lla testimonianza orale di alcuni ecclesiastici, che giurano di aver visto il </w:t>
      </w:r>
      <w:r>
        <w:t>precetto</w:t>
      </w:r>
      <w:r w:rsidRPr="00BA774F">
        <w:t xml:space="preserve"> che assegnava la proprietà a San Zeno</w:t>
      </w:r>
      <w:r w:rsidR="00794725">
        <w:t>, ma che era bruciato nell’</w:t>
      </w:r>
      <w:r w:rsidRPr="00BA774F">
        <w:t>incendio</w:t>
      </w:r>
      <w:r w:rsidR="00794725">
        <w:t xml:space="preserve"> del monastero</w:t>
      </w:r>
      <w:r w:rsidRPr="00BA774F">
        <w:t>.</w:t>
      </w:r>
    </w:p>
    <w:p w14:paraId="684FA4CA" w14:textId="77777777" w:rsidR="00573C8A" w:rsidRDefault="00573C8A" w:rsidP="00573C8A">
      <w:pPr>
        <w:jc w:val="both"/>
      </w:pPr>
    </w:p>
    <w:p w14:paraId="5271C1AF" w14:textId="77777777" w:rsidR="00573C8A" w:rsidRDefault="00573C8A" w:rsidP="00573C8A">
      <w:pPr>
        <w:jc w:val="both"/>
      </w:pPr>
      <w:r>
        <w:t>Copia semplice del sec.</w:t>
      </w:r>
      <w:r w:rsidR="00CD1C3C">
        <w:t xml:space="preserve"> IX</w:t>
      </w:r>
      <w:r>
        <w:t>, ricavata dall’originale,</w:t>
      </w:r>
      <w:r w:rsidR="00DA26B7">
        <w:t xml:space="preserve"> in Verona,</w:t>
      </w:r>
      <w:r>
        <w:t xml:space="preserve"> Archivio Capitolare, III. 4</w:t>
      </w:r>
      <w:r w:rsidR="0007421E">
        <w:t>. 1r</w:t>
      </w:r>
      <w:r>
        <w:t xml:space="preserve"> [B].</w:t>
      </w:r>
    </w:p>
    <w:p w14:paraId="71202A6B" w14:textId="77777777" w:rsidR="00BE2DFA" w:rsidRDefault="00BE2DFA" w:rsidP="00573C8A">
      <w:pPr>
        <w:jc w:val="both"/>
      </w:pPr>
    </w:p>
    <w:p w14:paraId="7A082E86" w14:textId="77777777" w:rsidR="00BE2DFA" w:rsidRDefault="00BE2DFA" w:rsidP="00573C8A">
      <w:pPr>
        <w:jc w:val="both"/>
      </w:pPr>
      <w:r>
        <w:t xml:space="preserve">Edizione: </w:t>
      </w:r>
      <w:r w:rsidR="000331BA">
        <w:t xml:space="preserve">ChLA², LX, 17; </w:t>
      </w:r>
      <w:r>
        <w:t>Manaresi, 18.</w:t>
      </w:r>
    </w:p>
    <w:p w14:paraId="26EDBB00" w14:textId="77777777" w:rsidR="00573C8A" w:rsidRDefault="00573C8A" w:rsidP="00573C8A">
      <w:pPr>
        <w:jc w:val="both"/>
      </w:pPr>
    </w:p>
    <w:p w14:paraId="092BAD45" w14:textId="77777777" w:rsidR="00573C8A" w:rsidRPr="00A31AB5" w:rsidRDefault="00BE2DFA" w:rsidP="00573C8A">
      <w:pPr>
        <w:jc w:val="both"/>
        <w:rPr>
          <w:lang w:val="en-US"/>
        </w:rPr>
      </w:pPr>
      <w:r>
        <w:t>In nomine Domini. Dum alter</w:t>
      </w:r>
      <w:r w:rsidR="00573C8A">
        <w:t xml:space="preserve">cationem inter se </w:t>
      </w:r>
      <w:r w:rsidR="00CD1C3C">
        <w:t>abuisset</w:t>
      </w:r>
      <w:r w:rsidR="00573C8A">
        <w:t xml:space="preserve"> </w:t>
      </w:r>
      <w:r w:rsidR="00CD1C3C">
        <w:t>Gaufre</w:t>
      </w:r>
      <w:r w:rsidR="00573C8A">
        <w:t xml:space="preserve"> gastaldio</w:t>
      </w:r>
      <w:r w:rsidR="00623BBD">
        <w:rPr>
          <w:rStyle w:val="Rimandonotadichiusura"/>
        </w:rPr>
        <w:endnoteReference w:id="1"/>
      </w:r>
      <w:r w:rsidR="00CD1C3C">
        <w:t>, qui causam regi</w:t>
      </w:r>
      <w:r w:rsidR="00573C8A">
        <w:t xml:space="preserve"> peragebat per iussionem </w:t>
      </w:r>
      <w:r w:rsidR="00CD1C3C">
        <w:t>Hadumaro comiti</w:t>
      </w:r>
      <w:r w:rsidR="00623BBD">
        <w:rPr>
          <w:rStyle w:val="Rimandonotadichiusura"/>
        </w:rPr>
        <w:endnoteReference w:id="2"/>
      </w:r>
      <w:r w:rsidR="00573C8A">
        <w:t xml:space="preserve">, et ex alia parte </w:t>
      </w:r>
      <w:r w:rsidR="00573C8A" w:rsidRPr="00B37163">
        <w:t>Paulus</w:t>
      </w:r>
      <w:r w:rsidR="00573C8A">
        <w:t xml:space="preserve"> vicedominus, qui causa</w:t>
      </w:r>
      <w:r w:rsidR="00CD1C3C">
        <w:t>[</w:t>
      </w:r>
      <w:r w:rsidR="00573C8A">
        <w:t>m</w:t>
      </w:r>
      <w:r w:rsidR="00CD1C3C">
        <w:t>]</w:t>
      </w:r>
      <w:r w:rsidR="00573C8A">
        <w:t xml:space="preserve"> </w:t>
      </w:r>
      <w:r w:rsidR="00573C8A" w:rsidRPr="00B37163">
        <w:t>Sancti</w:t>
      </w:r>
      <w:r w:rsidR="00573C8A">
        <w:t xml:space="preserve"> Zenonis</w:t>
      </w:r>
      <w:r>
        <w:rPr>
          <w:rStyle w:val="Rimandonotadichiusura"/>
        </w:rPr>
        <w:endnoteReference w:id="3"/>
      </w:r>
      <w:r w:rsidR="00573C8A">
        <w:t xml:space="preserve"> peragebat per iussionem </w:t>
      </w:r>
      <w:r w:rsidR="00573C8A" w:rsidRPr="00B37163">
        <w:t>Rataldi</w:t>
      </w:r>
      <w:r w:rsidR="00D41897">
        <w:t xml:space="preserve"> episcopo</w:t>
      </w:r>
      <w:r w:rsidR="00623BBD">
        <w:rPr>
          <w:rStyle w:val="Rimandonotadichiusura"/>
        </w:rPr>
        <w:endnoteReference w:id="4"/>
      </w:r>
      <w:r w:rsidR="00D41897">
        <w:t>, de terra</w:t>
      </w:r>
      <w:r w:rsidR="00573C8A">
        <w:t>s</w:t>
      </w:r>
      <w:r w:rsidR="00D41897">
        <w:t xml:space="preserve"> seo</w:t>
      </w:r>
      <w:r w:rsidR="00573C8A">
        <w:t xml:space="preserve"> s</w:t>
      </w:r>
      <w:r w:rsidR="00D41897">
        <w:t>ilvas, qui</w:t>
      </w:r>
      <w:r w:rsidR="00773E76">
        <w:t xml:space="preserve"> </w:t>
      </w:r>
      <w:r w:rsidR="00D41897">
        <w:t>est posita</w:t>
      </w:r>
      <w:r w:rsidR="00773E76">
        <w:t xml:space="preserve"> in capud</w:t>
      </w:r>
      <w:r w:rsidR="00573C8A">
        <w:t xml:space="preserve"> de </w:t>
      </w:r>
      <w:r w:rsidR="00D41897">
        <w:t>Colomnella</w:t>
      </w:r>
      <w:r w:rsidR="00573C8A" w:rsidRPr="00B37163">
        <w:t>s</w:t>
      </w:r>
      <w:r w:rsidR="00573C8A">
        <w:t xml:space="preserve">, locus ubi dicitur </w:t>
      </w:r>
      <w:r w:rsidR="00573C8A" w:rsidRPr="00B37163">
        <w:t>Rupta</w:t>
      </w:r>
      <w:r w:rsidR="00573C8A">
        <w:t xml:space="preserve"> Adelmi, finibus Veronensis</w:t>
      </w:r>
      <w:r w:rsidR="00623BBD">
        <w:rPr>
          <w:rStyle w:val="Rimandonotadichiusura"/>
        </w:rPr>
        <w:endnoteReference w:id="5"/>
      </w:r>
      <w:r w:rsidR="00573C8A">
        <w:t xml:space="preserve">, sic se coniungentes ambe partes </w:t>
      </w:r>
      <w:r w:rsidR="00D41897">
        <w:t>Adu</w:t>
      </w:r>
      <w:r w:rsidR="00573C8A" w:rsidRPr="00B37163">
        <w:t>mar</w:t>
      </w:r>
      <w:r w:rsidR="00D41897">
        <w:t xml:space="preserve"> comi</w:t>
      </w:r>
      <w:r w:rsidR="00573C8A">
        <w:t xml:space="preserve">s </w:t>
      </w:r>
      <w:r w:rsidR="00573C8A" w:rsidRPr="00B37163">
        <w:t>Rataldus</w:t>
      </w:r>
      <w:r w:rsidR="00573C8A">
        <w:t xml:space="preserve"> episcopus</w:t>
      </w:r>
      <w:r w:rsidR="00D41897">
        <w:t>,</w:t>
      </w:r>
      <w:r w:rsidR="00573C8A">
        <w:t xml:space="preserve"> </w:t>
      </w:r>
      <w:r>
        <w:t xml:space="preserve">et </w:t>
      </w:r>
      <w:r w:rsidR="00573C8A">
        <w:t>posuerunt con</w:t>
      </w:r>
      <w:r w:rsidR="00D41897">
        <w:t>stitutum inter se, ut ambulare super ipsam intentionem, i</w:t>
      </w:r>
      <w:r w:rsidR="00573C8A">
        <w:t xml:space="preserve">ta et peractum est. Et ibidem coniungentes se insimul </w:t>
      </w:r>
      <w:r w:rsidR="00D41897">
        <w:t>Hadu</w:t>
      </w:r>
      <w:r w:rsidR="00573C8A" w:rsidRPr="00B37163">
        <w:t>mari</w:t>
      </w:r>
      <w:r w:rsidR="00D41897">
        <w:t xml:space="preserve"> comis</w:t>
      </w:r>
      <w:r w:rsidR="00573C8A">
        <w:t xml:space="preserve"> </w:t>
      </w:r>
      <w:r w:rsidR="00573C8A" w:rsidRPr="00B37163">
        <w:t>Rataldus</w:t>
      </w:r>
      <w:r w:rsidR="00573C8A">
        <w:t xml:space="preserve"> episcopus, una cum </w:t>
      </w:r>
      <w:r w:rsidR="00573C8A" w:rsidRPr="00B37163">
        <w:t>Vualcaro</w:t>
      </w:r>
      <w:r w:rsidR="00573C8A">
        <w:t xml:space="preserve">, </w:t>
      </w:r>
      <w:r w:rsidR="00573C8A" w:rsidRPr="00B37163">
        <w:t>Fraulmo</w:t>
      </w:r>
      <w:r w:rsidR="00573C8A">
        <w:t xml:space="preserve">, </w:t>
      </w:r>
      <w:r w:rsidR="00D41897">
        <w:t>Arv</w:t>
      </w:r>
      <w:r w:rsidR="00573C8A" w:rsidRPr="00B37163">
        <w:t>aldo</w:t>
      </w:r>
      <w:r w:rsidR="00573C8A">
        <w:t xml:space="preserve"> scabinis</w:t>
      </w:r>
      <w:r w:rsidR="00476A86">
        <w:rPr>
          <w:rStyle w:val="Rimandonotadichiusura"/>
        </w:rPr>
        <w:endnoteReference w:id="6"/>
      </w:r>
      <w:r w:rsidR="00573C8A">
        <w:t xml:space="preserve">, </w:t>
      </w:r>
      <w:r w:rsidR="00573C8A" w:rsidRPr="00B37163">
        <w:t>Paulo</w:t>
      </w:r>
      <w:r w:rsidR="00573C8A">
        <w:t xml:space="preserve"> vicedomino et </w:t>
      </w:r>
      <w:r w:rsidR="00573C8A" w:rsidRPr="00B37163">
        <w:t>Gaufre</w:t>
      </w:r>
      <w:r w:rsidR="00D41897">
        <w:t xml:space="preserve"> gastaldus, qui ipsam causam perageba</w:t>
      </w:r>
      <w:r w:rsidR="00573C8A">
        <w:t xml:space="preserve">t. </w:t>
      </w:r>
      <w:r w:rsidR="00573C8A" w:rsidRPr="001A2815">
        <w:t>Dicebat Paulus vicedominus adversus Gaufrit gastaldium</w:t>
      </w:r>
      <w:r w:rsidR="00D41897" w:rsidRPr="001A2815">
        <w:t>,</w:t>
      </w:r>
      <w:r w:rsidR="00573C8A" w:rsidRPr="001A2815">
        <w:t xml:space="preserve"> quod: “Ist</w:t>
      </w:r>
      <w:r w:rsidR="00D41897" w:rsidRPr="001A2815">
        <w:t>a res, que detenis, terras vel silvas, ad parte</w:t>
      </w:r>
      <w:r w:rsidR="00573C8A" w:rsidRPr="001A2815">
        <w:t xml:space="preserve"> </w:t>
      </w:r>
      <w:r w:rsidR="00D41897" w:rsidRPr="001A2815">
        <w:t>s</w:t>
      </w:r>
      <w:r w:rsidR="00573C8A" w:rsidRPr="001A2815">
        <w:t>ancti Zenonis</w:t>
      </w:r>
      <w:r w:rsidR="00D41897" w:rsidRPr="001A2815">
        <w:t xml:space="preserve"> possessas per preceptum Desiderio regis usque in illo die</w:t>
      </w:r>
      <w:r w:rsidR="00573C8A" w:rsidRPr="001A2815">
        <w:t xml:space="preserve"> quem </w:t>
      </w:r>
      <w:r w:rsidR="00D41897" w:rsidRPr="001A2815">
        <w:t>Vulvai</w:t>
      </w:r>
      <w:r w:rsidR="00573C8A" w:rsidRPr="001A2815">
        <w:t>nus</w:t>
      </w:r>
      <w:r w:rsidR="00D41897" w:rsidRPr="001A2815">
        <w:t xml:space="preserve"> comis</w:t>
      </w:r>
      <w:r w:rsidR="003C338F">
        <w:rPr>
          <w:rStyle w:val="Rimandonotadichiusura"/>
          <w:lang w:val="en-US"/>
        </w:rPr>
        <w:endnoteReference w:id="7"/>
      </w:r>
      <w:r w:rsidR="00D41897" w:rsidRPr="001A2815">
        <w:t xml:space="preserve"> nos de ipsas res per fortia expulit; et quando ipse</w:t>
      </w:r>
      <w:r w:rsidR="00573C8A" w:rsidRPr="001A2815">
        <w:t xml:space="preserve"> domus</w:t>
      </w:r>
      <w:r w:rsidR="000331BA">
        <w:rPr>
          <w:rStyle w:val="Rimandonotadichiusura"/>
          <w:lang w:val="en-US"/>
        </w:rPr>
        <w:endnoteReference w:id="8"/>
      </w:r>
      <w:r w:rsidR="00573C8A" w:rsidRPr="001A2815">
        <w:t xml:space="preserve"> </w:t>
      </w:r>
      <w:r w:rsidR="00D41897" w:rsidRPr="001A2815">
        <w:t>s</w:t>
      </w:r>
      <w:r w:rsidR="00573C8A" w:rsidRPr="001A2815">
        <w:t>ancti</w:t>
      </w:r>
      <w:r w:rsidR="00D41897" w:rsidRPr="001A2815">
        <w:t xml:space="preserve"> Zenonis arsus est, ipse precept[o</w:t>
      </w:r>
      <w:r w:rsidR="00573C8A" w:rsidRPr="001A2815">
        <w:t xml:space="preserve"> regis c]onbustum est”. </w:t>
      </w:r>
      <w:r w:rsidR="00D41897" w:rsidRPr="001A2815">
        <w:t>Ad he</w:t>
      </w:r>
      <w:r w:rsidR="00573C8A" w:rsidRPr="001A2815">
        <w:t xml:space="preserve">c respondebat </w:t>
      </w:r>
      <w:r w:rsidR="00D41897" w:rsidRPr="001A2815">
        <w:t>Gaufre gastaldus</w:t>
      </w:r>
      <w:r w:rsidR="00573C8A" w:rsidRPr="001A2815">
        <w:t>: “N</w:t>
      </w:r>
      <w:r w:rsidR="00D41897" w:rsidRPr="001A2815">
        <w:t>on e[st v]eritas quod dices, nisi istas terras vel silvas ad parte regi semper fuerunt possessas</w:t>
      </w:r>
      <w:r w:rsidR="00573C8A" w:rsidRPr="001A2815">
        <w:t>, sicque par</w:t>
      </w:r>
      <w:r w:rsidR="00D41897" w:rsidRPr="001A2815">
        <w:t>te</w:t>
      </w:r>
      <w:r w:rsidR="00573C8A" w:rsidRPr="001A2815">
        <w:t xml:space="preserve">s </w:t>
      </w:r>
      <w:r w:rsidR="00D41897" w:rsidRPr="001A2815">
        <w:t>s</w:t>
      </w:r>
      <w:r w:rsidR="00573C8A" w:rsidRPr="001A2815">
        <w:t>ancti</w:t>
      </w:r>
      <w:r w:rsidR="00D41897" w:rsidRPr="001A2815">
        <w:t xml:space="preserve"> Zenonis non av</w:t>
      </w:r>
      <w:r w:rsidR="00573C8A" w:rsidRPr="001A2815">
        <w:t>ebat”. Sic nos s</w:t>
      </w:r>
      <w:r w:rsidR="00D41897" w:rsidRPr="001A2815">
        <w:t>uprascripti auditores, dum tale inter eos audisemus altercatione</w:t>
      </w:r>
      <w:r w:rsidR="00573C8A" w:rsidRPr="001A2815">
        <w:t xml:space="preserve"> ita iudicavimus</w:t>
      </w:r>
      <w:r w:rsidR="00D41897" w:rsidRPr="001A2815">
        <w:t xml:space="preserve"> ut consignare</w:t>
      </w:r>
      <w:r w:rsidR="00573C8A" w:rsidRPr="001A2815">
        <w:t xml:space="preserve"> Gaufrit</w:t>
      </w:r>
      <w:r w:rsidR="00D41897" w:rsidRPr="001A2815">
        <w:t xml:space="preserve"> gastaldus</w:t>
      </w:r>
      <w:r w:rsidR="00573C8A" w:rsidRPr="001A2815">
        <w:t xml:space="preserve"> quod par</w:t>
      </w:r>
      <w:r w:rsidR="00D41897" w:rsidRPr="001A2815">
        <w:t>tes regi</w:t>
      </w:r>
      <w:r w:rsidR="00573C8A" w:rsidRPr="001A2815">
        <w:t xml:space="preserve"> ipsas res sic possedisset amplius </w:t>
      </w:r>
      <w:r w:rsidR="000B55FF" w:rsidRPr="001A2815">
        <w:t>.</w:t>
      </w:r>
      <w:r w:rsidR="00573C8A" w:rsidRPr="001A2815">
        <w:t>XXX</w:t>
      </w:r>
      <w:r w:rsidR="000B55FF" w:rsidRPr="001A2815">
        <w:t>. annu</w:t>
      </w:r>
      <w:r w:rsidR="00573C8A" w:rsidRPr="001A2815">
        <w:t xml:space="preserve">s, quod pars sancti Zenonis non abuisset. </w:t>
      </w:r>
      <w:r w:rsidR="000B55FF" w:rsidRPr="001A2815">
        <w:t>Qui ita dixit quod ipsa consignatione</w:t>
      </w:r>
      <w:r w:rsidR="00573C8A" w:rsidRPr="001A2815">
        <w:t xml:space="preserve"> facere minime putuerit. Post istam refutationem peractam</w:t>
      </w:r>
      <w:r w:rsidR="000B55FF" w:rsidRPr="001A2815">
        <w:t>,</w:t>
      </w:r>
      <w:r w:rsidR="00573C8A" w:rsidRPr="001A2815">
        <w:t xml:space="preserve"> si</w:t>
      </w:r>
      <w:r w:rsidR="00773E76" w:rsidRPr="001A2815">
        <w:t>c</w:t>
      </w:r>
      <w:r w:rsidR="000B55FF" w:rsidRPr="001A2815">
        <w:t xml:space="preserve"> iudicavimus nu</w:t>
      </w:r>
      <w:r w:rsidR="00573C8A" w:rsidRPr="001A2815">
        <w:t>s Vualcari, Fraulme, Arioald</w:t>
      </w:r>
      <w:r w:rsidR="000B55FF" w:rsidRPr="001A2815">
        <w:t xml:space="preserve"> scabini, ut designare partem</w:t>
      </w:r>
      <w:r w:rsidR="00573C8A" w:rsidRPr="001A2815">
        <w:t xml:space="preserve"> sancti Zenonis, qua</w:t>
      </w:r>
      <w:r w:rsidR="000B55FF" w:rsidRPr="001A2815">
        <w:t>m fine possessum fue</w:t>
      </w:r>
      <w:r w:rsidR="00573C8A" w:rsidRPr="001A2815">
        <w:t>t ad partem sancti</w:t>
      </w:r>
      <w:r w:rsidR="000B55FF" w:rsidRPr="001A2815">
        <w:t xml:space="preserve"> Zenonis per prȩceptum Desiderio regis, qus arsum est in ipso domus</w:t>
      </w:r>
      <w:r w:rsidR="00573C8A" w:rsidRPr="001A2815">
        <w:t xml:space="preserve">. Quod ita et ambolaverunt Tiso archidiaconus, Ilbingi diaconus, Donatus presbiter, Deusdei presbiter </w:t>
      </w:r>
      <w:r w:rsidR="000B55FF" w:rsidRPr="001A2815">
        <w:t>seo</w:t>
      </w:r>
      <w:r w:rsidR="00573C8A" w:rsidRPr="001A2815">
        <w:t xml:space="preserve"> Paulus vic</w:t>
      </w:r>
      <w:r w:rsidR="000B55FF" w:rsidRPr="001A2815">
        <w:t>edominus, et designaverunt ipsa fine</w:t>
      </w:r>
      <w:r w:rsidR="00573C8A" w:rsidRPr="001A2815">
        <w:t xml:space="preserve"> de fine fluvio </w:t>
      </w:r>
      <w:r w:rsidR="000B55FF" w:rsidRPr="001A2815">
        <w:t>Ad</w:t>
      </w:r>
      <w:r w:rsidR="00573C8A" w:rsidRPr="001A2815">
        <w:t>ise</w:t>
      </w:r>
      <w:r w:rsidR="00A31AB5">
        <w:rPr>
          <w:rStyle w:val="Rimandonotadichiusura"/>
          <w:lang w:val="en-US"/>
        </w:rPr>
        <w:endnoteReference w:id="9"/>
      </w:r>
      <w:r w:rsidR="00573C8A" w:rsidRPr="001A2815">
        <w:t>, ubi Rupta</w:t>
      </w:r>
      <w:r w:rsidR="000B55FF" w:rsidRPr="001A2815">
        <w:t xml:space="preserve"> Adelmo capud pone, seo per lecto de ipsa Rupta usque in medio padule, et cerne inter casa</w:t>
      </w:r>
      <w:r w:rsidR="00573C8A" w:rsidRPr="001A2815">
        <w:t xml:space="preserve"> </w:t>
      </w:r>
      <w:r w:rsidR="000B55FF" w:rsidRPr="001A2815">
        <w:t>S</w:t>
      </w:r>
      <w:r w:rsidR="00573C8A" w:rsidRPr="001A2815">
        <w:t xml:space="preserve">ancti Benedicti de Leonis et </w:t>
      </w:r>
      <w:r w:rsidR="000B55FF" w:rsidRPr="001A2815">
        <w:t>S</w:t>
      </w:r>
      <w:r w:rsidR="00573C8A" w:rsidRPr="001A2815">
        <w:t>ancti Zenonis. Et</w:t>
      </w:r>
      <w:r w:rsidR="000B55FF" w:rsidRPr="001A2815">
        <w:t xml:space="preserve"> qualiter designaverunt ad Dei evuangelia firmaverunt super ipsa fine et sic iuraverunt quod: “Ipso precepto</w:t>
      </w:r>
      <w:r w:rsidR="00573C8A" w:rsidRPr="001A2815">
        <w:t xml:space="preserve"> vid[im]us et p</w:t>
      </w:r>
      <w:r w:rsidR="000B55FF" w:rsidRPr="001A2815">
        <w:t>er ipsum possessum est ad parte S</w:t>
      </w:r>
      <w:r w:rsidR="00573C8A" w:rsidRPr="001A2815">
        <w:t>ancti Zenonis sine ul</w:t>
      </w:r>
      <w:r w:rsidR="000B55FF" w:rsidRPr="001A2815">
        <w:t>la datione, et legibus ad parte</w:t>
      </w:r>
      <w:r w:rsidR="00573C8A" w:rsidRPr="001A2815">
        <w:t xml:space="preserve"> sancti Zenonis debet permanere”. </w:t>
      </w:r>
      <w:r w:rsidR="00573C8A" w:rsidRPr="001A2815">
        <w:rPr>
          <w:lang w:val="fr-FR"/>
        </w:rPr>
        <w:t xml:space="preserve">Unde </w:t>
      </w:r>
      <w:r w:rsidR="000B55FF" w:rsidRPr="001A2815">
        <w:rPr>
          <w:lang w:val="fr-FR"/>
        </w:rPr>
        <w:t>nos suprascriptis auditores</w:t>
      </w:r>
      <w:r w:rsidR="006D7080" w:rsidRPr="001A2815">
        <w:rPr>
          <w:lang w:val="fr-FR"/>
        </w:rPr>
        <w:t xml:space="preserve"> recte paruit esse</w:t>
      </w:r>
      <w:r w:rsidR="00573C8A" w:rsidRPr="001A2815">
        <w:rPr>
          <w:lang w:val="fr-FR"/>
        </w:rPr>
        <w:t xml:space="preserve"> ut ip[sam] sil</w:t>
      </w:r>
      <w:r w:rsidR="006D7080" w:rsidRPr="001A2815">
        <w:rPr>
          <w:lang w:val="fr-FR"/>
        </w:rPr>
        <w:t>vam vel terram aberent ad parte</w:t>
      </w:r>
      <w:r w:rsidR="00573C8A" w:rsidRPr="001A2815">
        <w:rPr>
          <w:lang w:val="fr-FR"/>
        </w:rPr>
        <w:t xml:space="preserve"> sancti</w:t>
      </w:r>
      <w:r w:rsidR="006D7080" w:rsidRPr="001A2815">
        <w:rPr>
          <w:lang w:val="fr-FR"/>
        </w:rPr>
        <w:t xml:space="preserve"> Zononis</w:t>
      </w:r>
      <w:r w:rsidR="00573C8A" w:rsidRPr="001A2815">
        <w:rPr>
          <w:lang w:val="fr-FR"/>
        </w:rPr>
        <w:t xml:space="preserve"> qualiter insignaverunt</w:t>
      </w:r>
      <w:r w:rsidR="006D7080" w:rsidRPr="001A2815">
        <w:rPr>
          <w:lang w:val="fr-FR"/>
        </w:rPr>
        <w:t>,</w:t>
      </w:r>
      <w:r w:rsidR="00573C8A" w:rsidRPr="001A2815">
        <w:rPr>
          <w:lang w:val="fr-FR"/>
        </w:rPr>
        <w:t xml:space="preserve"> </w:t>
      </w:r>
      <w:r w:rsidR="006D7080" w:rsidRPr="001A2815">
        <w:rPr>
          <w:lang w:val="fr-FR"/>
        </w:rPr>
        <w:t>ut ad Dei iuditia firmaverunt, e</w:t>
      </w:r>
      <w:r w:rsidR="00573C8A" w:rsidRPr="001A2815">
        <w:rPr>
          <w:lang w:val="fr-FR"/>
        </w:rPr>
        <w:t>t finita est inter eos ipsa intentio</w:t>
      </w:r>
      <w:r w:rsidR="00476A86">
        <w:rPr>
          <w:rStyle w:val="Rimandonotadichiusura"/>
        </w:rPr>
        <w:endnoteReference w:id="10"/>
      </w:r>
      <w:r w:rsidR="00573C8A" w:rsidRPr="001A2815">
        <w:rPr>
          <w:lang w:val="fr-FR"/>
        </w:rPr>
        <w:t xml:space="preserve">. </w:t>
      </w:r>
      <w:r w:rsidR="006D7080" w:rsidRPr="001A2815">
        <w:rPr>
          <w:lang w:val="fr-FR"/>
        </w:rPr>
        <w:t>Et hunc notitia</w:t>
      </w:r>
      <w:r w:rsidR="00573C8A" w:rsidRPr="001A2815">
        <w:rPr>
          <w:lang w:val="fr-FR"/>
        </w:rPr>
        <w:t xml:space="preserve"> iudicati fieri iussimus et Garioald notario scribere admonuim</w:t>
      </w:r>
      <w:r w:rsidR="007F5B10" w:rsidRPr="001A2815">
        <w:rPr>
          <w:lang w:val="fr-FR"/>
        </w:rPr>
        <w:t>u</w:t>
      </w:r>
      <w:r w:rsidR="006D7080" w:rsidRPr="001A2815">
        <w:rPr>
          <w:lang w:val="fr-FR"/>
        </w:rPr>
        <w:t>s et de</w:t>
      </w:r>
      <w:r w:rsidR="00573C8A" w:rsidRPr="001A2815">
        <w:rPr>
          <w:lang w:val="fr-FR"/>
        </w:rPr>
        <w:t>ctavimus, ut admodum in posterum nulla oria</w:t>
      </w:r>
      <w:r w:rsidR="006D7080" w:rsidRPr="001A2815">
        <w:rPr>
          <w:lang w:val="fr-FR"/>
        </w:rPr>
        <w:t xml:space="preserve">tur intentio. </w:t>
      </w:r>
      <w:r w:rsidR="006D7080">
        <w:t>Peracta noticia iu</w:t>
      </w:r>
      <w:r w:rsidR="00573C8A">
        <w:t>dicati</w:t>
      </w:r>
      <w:r w:rsidR="006D7080">
        <w:t xml:space="preserve"> anno domnorum nostrorum Charolo et Pippino</w:t>
      </w:r>
      <w:r w:rsidR="00573C8A">
        <w:t xml:space="preserve"> regis, an</w:t>
      </w:r>
      <w:r w:rsidR="006D7080">
        <w:t>[</w:t>
      </w:r>
      <w:r w:rsidR="00573C8A">
        <w:t>no</w:t>
      </w:r>
      <w:r w:rsidR="006D7080">
        <w:t>]</w:t>
      </w:r>
      <w:r w:rsidR="00573C8A">
        <w:t>s regni eo</w:t>
      </w:r>
      <w:r w:rsidR="006D7080">
        <w:t>rum trigesimo tertio et vigi</w:t>
      </w:r>
      <w:r w:rsidR="007F5B10">
        <w:t>sim</w:t>
      </w:r>
      <w:r w:rsidR="00573C8A">
        <w:t>o quinto, indictione XIIII, mense aprile.</w:t>
      </w:r>
      <w:r w:rsidR="00A31AB5">
        <w:t xml:space="preserve"> </w:t>
      </w:r>
      <w:r w:rsidR="00573C8A">
        <w:rPr>
          <w:lang w:val="en-GB"/>
        </w:rPr>
        <w:t xml:space="preserve">Ego </w:t>
      </w:r>
      <w:r w:rsidR="00573C8A" w:rsidRPr="00B545C9">
        <w:rPr>
          <w:lang w:val="en-GB"/>
        </w:rPr>
        <w:t>Vualcari</w:t>
      </w:r>
      <w:r w:rsidR="00573C8A">
        <w:rPr>
          <w:lang w:val="en-GB"/>
        </w:rPr>
        <w:t xml:space="preserve"> in his actis interfui.</w:t>
      </w:r>
      <w:r w:rsidR="00A31AB5" w:rsidRPr="00A31AB5">
        <w:rPr>
          <w:lang w:val="en-US"/>
        </w:rPr>
        <w:t xml:space="preserve"> </w:t>
      </w:r>
      <w:r w:rsidR="00573C8A">
        <w:rPr>
          <w:lang w:val="en-GB"/>
        </w:rPr>
        <w:t xml:space="preserve">Ego </w:t>
      </w:r>
      <w:r w:rsidR="00573C8A" w:rsidRPr="00B545C9">
        <w:rPr>
          <w:lang w:val="en-GB"/>
        </w:rPr>
        <w:t>Fraulme</w:t>
      </w:r>
      <w:r w:rsidR="00573C8A">
        <w:rPr>
          <w:lang w:val="en-GB"/>
        </w:rPr>
        <w:t xml:space="preserve"> in his actis interfui.</w:t>
      </w:r>
    </w:p>
    <w:p w14:paraId="6BA2E15E" w14:textId="77777777" w:rsidR="00EF2AC3" w:rsidRDefault="00EF2AC3">
      <w:pPr>
        <w:suppressAutoHyphens w:val="0"/>
        <w:spacing w:after="200" w:line="276" w:lineRule="auto"/>
        <w:rPr>
          <w:lang w:val="en-GB"/>
        </w:rPr>
      </w:pPr>
      <w:r>
        <w:rPr>
          <w:lang w:val="en-GB"/>
        </w:rPr>
        <w:br w:type="page"/>
      </w:r>
    </w:p>
    <w:p w14:paraId="62ACC0EB" w14:textId="77777777" w:rsidR="009425C0" w:rsidRPr="00A31AB5" w:rsidRDefault="00EF2AC3" w:rsidP="00BA774F">
      <w:pPr>
        <w:jc w:val="both"/>
        <w:rPr>
          <w:lang w:val="en-US"/>
        </w:rPr>
      </w:pPr>
      <w:r>
        <w:rPr>
          <w:lang w:val="en-US"/>
        </w:rPr>
        <w:lastRenderedPageBreak/>
        <w:t>NOTE STORICHE</w:t>
      </w:r>
    </w:p>
    <w:sectPr w:rsidR="009425C0" w:rsidRPr="00A31AB5">
      <w:footnotePr>
        <w:numFmt w:val="lowerLetter"/>
      </w:footnotePr>
      <w:endnotePr>
        <w:numFmt w:val="decimal"/>
      </w:end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A43DD" w14:textId="77777777" w:rsidR="00A50041" w:rsidRDefault="00A50041" w:rsidP="00BE2DFA">
      <w:r>
        <w:separator/>
      </w:r>
    </w:p>
  </w:endnote>
  <w:endnote w:type="continuationSeparator" w:id="0">
    <w:p w14:paraId="14E7B2A5" w14:textId="77777777" w:rsidR="00A50041" w:rsidRDefault="00A50041" w:rsidP="00BE2DFA">
      <w:r>
        <w:continuationSeparator/>
      </w:r>
    </w:p>
  </w:endnote>
  <w:endnote w:id="1">
    <w:p w14:paraId="3EE53387" w14:textId="77777777" w:rsidR="00623BBD" w:rsidRDefault="00623BBD" w:rsidP="00BA774F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</w:t>
      </w:r>
      <w:r w:rsidRPr="00623BBD">
        <w:rPr>
          <w:smallCaps/>
        </w:rPr>
        <w:t>Castagnetti</w:t>
      </w:r>
      <w:r>
        <w:t xml:space="preserve"> 1989, p. 22, sottolinea </w:t>
      </w:r>
      <w:r w:rsidR="00476A86">
        <w:t xml:space="preserve">come </w:t>
      </w:r>
      <w:r>
        <w:t>il ruolo del gastaldo come amministratore dei beni del fisco sia coerente con quanto avveniva in epoca longobarda.</w:t>
      </w:r>
    </w:p>
  </w:endnote>
  <w:endnote w:id="2">
    <w:p w14:paraId="79F6A29F" w14:textId="77777777" w:rsidR="00623BBD" w:rsidRDefault="00623BBD" w:rsidP="00BA774F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Si tratta della prima testimonianza di un conte a Verona (</w:t>
      </w:r>
      <w:r w:rsidRPr="00623BBD">
        <w:rPr>
          <w:smallCaps/>
        </w:rPr>
        <w:t>Varanini</w:t>
      </w:r>
      <w:r>
        <w:t xml:space="preserve"> 1989, p. 203</w:t>
      </w:r>
      <w:r w:rsidR="006E4D80">
        <w:t xml:space="preserve">). Zettler </w:t>
      </w:r>
      <w:r w:rsidR="00075BF4">
        <w:t>(</w:t>
      </w:r>
      <w:r w:rsidR="00075BF4" w:rsidRPr="00075BF4">
        <w:rPr>
          <w:smallCaps/>
        </w:rPr>
        <w:t>Zettler</w:t>
      </w:r>
      <w:r w:rsidR="00075BF4" w:rsidRPr="00075BF4">
        <w:t xml:space="preserve"> 2009, pp. 99-100</w:t>
      </w:r>
      <w:r w:rsidR="00075BF4">
        <w:t xml:space="preserve">) </w:t>
      </w:r>
      <w:r w:rsidR="006E4D80">
        <w:t>ipotizza che si tratti di un ufficiale impiegato nella guerra di Sassonia, prima di essere nominato conte di Verona.</w:t>
      </w:r>
      <w:r w:rsidR="00075BF4">
        <w:t xml:space="preserve"> Secondo Hammer (</w:t>
      </w:r>
      <w:r w:rsidR="00075BF4" w:rsidRPr="00D4057A">
        <w:rPr>
          <w:smallCaps/>
        </w:rPr>
        <w:t>Hammer</w:t>
      </w:r>
      <w:r w:rsidR="00075BF4">
        <w:t xml:space="preserve"> 2007, pp. 248-251), sarebbe il figlio del conte Helmuni, il quale partecipò alla congiura che, nel 791, tentò di sostituire a Carlo Magno suo figlio Pipino il Gobbo.</w:t>
      </w:r>
      <w:r w:rsidR="00EC1722">
        <w:t xml:space="preserve"> Nel maggio dell’809</w:t>
      </w:r>
      <w:r w:rsidR="006E4D80">
        <w:t>, Hadumar è già morto, perché</w:t>
      </w:r>
      <w:r w:rsidR="00EC1722">
        <w:t xml:space="preserve"> il vescovo Ratoldo e il conte di Verona Hucpaldo </w:t>
      </w:r>
      <w:r w:rsidR="007061C7">
        <w:t>offrirono</w:t>
      </w:r>
      <w:r w:rsidR="00EC1722">
        <w:t xml:space="preserve"> alla chiesa di san Pietro in Castello le proprietà che erano state loro donate dal conte Adumar (Fainelli, I, 89). Su questo conte </w:t>
      </w:r>
      <w:r w:rsidR="00EC1722" w:rsidRPr="00EC1722">
        <w:rPr>
          <w:smallCaps/>
        </w:rPr>
        <w:t>Hlawitschka</w:t>
      </w:r>
      <w:r w:rsidR="006E4D80">
        <w:t xml:space="preserve"> 1960, pp. 194-195)</w:t>
      </w:r>
    </w:p>
  </w:endnote>
  <w:endnote w:id="3">
    <w:p w14:paraId="05C9B323" w14:textId="77777777" w:rsidR="00BE2DFA" w:rsidRDefault="00BE2DFA" w:rsidP="00BA774F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Sul monastero di San Zeno si veda </w:t>
      </w:r>
      <w:r w:rsidRPr="007061C7">
        <w:rPr>
          <w:smallCaps/>
        </w:rPr>
        <w:t>Kehr</w:t>
      </w:r>
      <w:r>
        <w:t xml:space="preserve"> 1923, pp. 267-271</w:t>
      </w:r>
      <w:r w:rsidR="006F2C0F">
        <w:t xml:space="preserve"> e </w:t>
      </w:r>
      <w:r w:rsidR="006F2C0F" w:rsidRPr="006F2C0F">
        <w:rPr>
          <w:smallCaps/>
        </w:rPr>
        <w:t>Mor</w:t>
      </w:r>
      <w:r w:rsidR="006F2C0F">
        <w:t xml:space="preserve"> 1964, p. 81</w:t>
      </w:r>
      <w:r>
        <w:t>.</w:t>
      </w:r>
    </w:p>
  </w:endnote>
  <w:endnote w:id="4">
    <w:p w14:paraId="25EA057B" w14:textId="77777777" w:rsidR="00623BBD" w:rsidRDefault="00623BBD" w:rsidP="00BA774F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Rothaldus (799-840) (</w:t>
      </w:r>
      <w:r w:rsidRPr="00623BBD">
        <w:rPr>
          <w:smallCaps/>
        </w:rPr>
        <w:t>Gams</w:t>
      </w:r>
      <w:r>
        <w:t xml:space="preserve"> 1857, p. 805).</w:t>
      </w:r>
      <w:r w:rsidR="005F0D65">
        <w:t xml:space="preserve"> Già cappellano di corte, era vicino al monastero di Reichenau.</w:t>
      </w:r>
      <w:r w:rsidR="00EC1722">
        <w:t xml:space="preserve"> Diverse donazioni testimoniano il legame tra questo vescovo e il monastero di San Zeno (</w:t>
      </w:r>
      <w:r w:rsidR="00EC1722" w:rsidRPr="00EC1722">
        <w:rPr>
          <w:smallCaps/>
        </w:rPr>
        <w:t>Fainelli</w:t>
      </w:r>
      <w:r w:rsidR="00EC1722">
        <w:t xml:space="preserve"> 1958, pp. 52-53)</w:t>
      </w:r>
      <w:r w:rsidR="00794725">
        <w:t>, di cui fu anche rettore (</w:t>
      </w:r>
      <w:r w:rsidR="00EF2AC3" w:rsidRPr="00EF2AC3">
        <w:rPr>
          <w:u w:val="single"/>
        </w:rPr>
        <w:t>Veneto 3</w:t>
      </w:r>
      <w:r w:rsidR="00794725">
        <w:t>) e che aveva contribuito a ricostruire dopo l’incendio cui si accenna nel presente placito.</w:t>
      </w:r>
      <w:r w:rsidR="00AB4A45">
        <w:t xml:space="preserve"> Ratoldo sarebbe stato anche donatore in favore della canonica di Verona, in un documento (Fainelli, I, 104) di cui tuttavia è stata dimostrata la falsità (</w:t>
      </w:r>
      <w:r w:rsidR="00AB4A45" w:rsidRPr="00AB4A45">
        <w:rPr>
          <w:smallCaps/>
        </w:rPr>
        <w:t>La Rocca</w:t>
      </w:r>
      <w:r w:rsidR="0078469D">
        <w:t xml:space="preserve"> 1995); la creazione della </w:t>
      </w:r>
      <w:r w:rsidR="0078469D">
        <w:rPr>
          <w:i/>
        </w:rPr>
        <w:t>schola</w:t>
      </w:r>
      <w:r w:rsidR="0078469D">
        <w:t xml:space="preserve"> della canonica veronese, secondo Santoni, sarebbe piuttosto da attribuire ad Egino, suo predecessore alla cattedra cittadina (</w:t>
      </w:r>
      <w:r w:rsidR="0078469D" w:rsidRPr="0078469D">
        <w:rPr>
          <w:smallCaps/>
        </w:rPr>
        <w:t>Santoni</w:t>
      </w:r>
      <w:r w:rsidR="0078469D">
        <w:t xml:space="preserve"> 2009, p.181).</w:t>
      </w:r>
      <w:r w:rsidR="006E558D">
        <w:t xml:space="preserve"> Secondo Zettler, egli era legato a Pipino re d’Italia e inizialmente anche a Bernardo; tuttavia, poiché andò personalmente a denunciare la rivolta di quest’ultimo presso la corte di Aquisgrana, divenne successivamente un personaggio di estremo rilievo</w:t>
      </w:r>
      <w:r w:rsidR="00377E32">
        <w:t>. In particolare, il legame con Ludovico il Pio fu reso evidente e ulteriormente rafforzat</w:t>
      </w:r>
      <w:r w:rsidR="0078469D">
        <w:t>o dal contributo di Ratoldo alla</w:t>
      </w:r>
      <w:r w:rsidR="00377E32">
        <w:t xml:space="preserve"> liberazione della regina Giuditta da Tortona, dove era stata relegata dopo la deposizione dell’imperatore nell’833 (</w:t>
      </w:r>
      <w:r w:rsidR="00377E32" w:rsidRPr="00075BF4">
        <w:rPr>
          <w:smallCaps/>
        </w:rPr>
        <w:t>Hammer</w:t>
      </w:r>
      <w:r w:rsidR="00377E32">
        <w:t xml:space="preserve"> 2007, pp. 327-337)</w:t>
      </w:r>
      <w:r w:rsidR="005F0D65">
        <w:t>; dopo questo episodio, egli non tornò più in Italia, perché inviso a Lotario I (</w:t>
      </w:r>
      <w:r w:rsidR="005F0D65" w:rsidRPr="005F0D65">
        <w:rPr>
          <w:smallCaps/>
        </w:rPr>
        <w:t>Castagnetti</w:t>
      </w:r>
      <w:r w:rsidR="005F0D65">
        <w:t xml:space="preserve"> 1990b, p. 18)</w:t>
      </w:r>
      <w:r w:rsidR="00377E32">
        <w:t>.</w:t>
      </w:r>
      <w:r w:rsidR="000331BA">
        <w:t xml:space="preserve"> In Fainelli, I, 89, egli risulta esecutore testamentare per Hadumar (v. sopra e </w:t>
      </w:r>
      <w:r w:rsidR="000331BA" w:rsidRPr="000331BA">
        <w:rPr>
          <w:smallCaps/>
        </w:rPr>
        <w:t>Mor</w:t>
      </w:r>
      <w:r w:rsidR="000331BA">
        <w:t xml:space="preserve"> 1964, p. 69).</w:t>
      </w:r>
    </w:p>
  </w:endnote>
  <w:endnote w:id="5">
    <w:p w14:paraId="1DE10944" w14:textId="77777777" w:rsidR="00623BBD" w:rsidRDefault="00623BBD" w:rsidP="00BA774F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Questa localizzazione è ritenuta un’eccezione da </w:t>
      </w:r>
      <w:r w:rsidRPr="00623BBD">
        <w:rPr>
          <w:smallCaps/>
        </w:rPr>
        <w:t>Brugnoli</w:t>
      </w:r>
      <w:r>
        <w:t xml:space="preserve"> 2010, p. 218, perché per l’epoca in questione egli rileva piuttosto la tendenza a definire i luoghi a partire dalla circoscrizione territoriale più ampia – e non, come appunto in questo caso, dalla più puntuale.</w:t>
      </w:r>
    </w:p>
  </w:endnote>
  <w:endnote w:id="6">
    <w:p w14:paraId="5D2D376A" w14:textId="77777777" w:rsidR="00476A86" w:rsidRDefault="00476A86" w:rsidP="00BA774F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Si tratta della prima menzione degli scabini per l’area veronese (</w:t>
      </w:r>
      <w:r w:rsidRPr="00476A86">
        <w:rPr>
          <w:smallCaps/>
        </w:rPr>
        <w:t>Bougard</w:t>
      </w:r>
      <w:r>
        <w:t xml:space="preserve"> 1995, p. 140, la considera un’applicazione di una regola generale).</w:t>
      </w:r>
      <w:r w:rsidRPr="00476A86">
        <w:t xml:space="preserve"> </w:t>
      </w:r>
      <w:r>
        <w:t xml:space="preserve">In questo processo, gli scabini </w:t>
      </w:r>
      <w:r w:rsidR="00BA774F">
        <w:t>erano</w:t>
      </w:r>
      <w:r>
        <w:t xml:space="preserve"> </w:t>
      </w:r>
      <w:r w:rsidR="00BA774F">
        <w:t>coadiuvanti</w:t>
      </w:r>
      <w:r>
        <w:t xml:space="preserve"> di chi presiede</w:t>
      </w:r>
      <w:r w:rsidR="00BA774F">
        <w:t>va</w:t>
      </w:r>
      <w:r>
        <w:t xml:space="preserve"> il processo (</w:t>
      </w:r>
      <w:r w:rsidRPr="00476A86">
        <w:rPr>
          <w:smallCaps/>
        </w:rPr>
        <w:t>Bougard</w:t>
      </w:r>
      <w:r>
        <w:t xml:space="preserve"> 1995, p. 142</w:t>
      </w:r>
      <w:r w:rsidR="00BA774F">
        <w:t>).</w:t>
      </w:r>
    </w:p>
  </w:endnote>
  <w:endnote w:id="7">
    <w:p w14:paraId="2AB3C2D0" w14:textId="77777777" w:rsidR="003C338F" w:rsidRDefault="003C338F">
      <w:pPr>
        <w:pStyle w:val="Testonotadichiusura"/>
      </w:pPr>
      <w:r>
        <w:rPr>
          <w:rStyle w:val="Rimandonotadichiusura"/>
        </w:rPr>
        <w:endnoteRef/>
      </w:r>
      <w:r>
        <w:t xml:space="preserve"> Castagnetti lo ritiene un membro degli Alaolfingi (</w:t>
      </w:r>
      <w:r w:rsidRPr="003C338F">
        <w:rPr>
          <w:smallCaps/>
        </w:rPr>
        <w:t>Castagnetti</w:t>
      </w:r>
      <w:r>
        <w:t xml:space="preserve"> 1990b, p. 16). Secondo lo studioso, il conte che in passato aveva usurpato i beni della chiesa in nome del fisco, aveva agito secondo modalità riconoscibili per la società veronese dell’epoca: i conti, anche in altri casi (Ucpaldo in Manaresi, 31; Gorado in </w:t>
      </w:r>
      <w:r w:rsidRPr="003C338F">
        <w:rPr>
          <w:u w:val="single"/>
        </w:rPr>
        <w:t>Veneto 3</w:t>
      </w:r>
      <w:r>
        <w:t>) cercarono di aumentare i propri possedimenti a scapito di altri grandi proprietari fondiari cittadini, come gli enti religiosi, appunto.</w:t>
      </w:r>
      <w:r w:rsidR="001A2815">
        <w:t xml:space="preserve"> </w:t>
      </w:r>
      <w:r w:rsidR="001A2815" w:rsidRPr="00467952">
        <w:t xml:space="preserve">Vedi anche </w:t>
      </w:r>
      <w:r w:rsidR="001A2815" w:rsidRPr="00467952">
        <w:rPr>
          <w:u w:val="single"/>
        </w:rPr>
        <w:t>Veneto 3</w:t>
      </w:r>
      <w:r w:rsidR="001A2815" w:rsidRPr="00467952">
        <w:t>.</w:t>
      </w:r>
      <w:bookmarkStart w:id="0" w:name="_GoBack"/>
      <w:bookmarkEnd w:id="0"/>
      <w:r>
        <w:t xml:space="preserve"> </w:t>
      </w:r>
    </w:p>
  </w:endnote>
  <w:endnote w:id="8">
    <w:p w14:paraId="4D456F37" w14:textId="77777777" w:rsidR="000331BA" w:rsidRPr="000331BA" w:rsidRDefault="000331BA">
      <w:pPr>
        <w:pStyle w:val="Testonotadichiusura"/>
      </w:pPr>
      <w:r>
        <w:rPr>
          <w:rStyle w:val="Rimandonotadichiusura"/>
        </w:rPr>
        <w:endnoteRef/>
      </w:r>
      <w:r>
        <w:t xml:space="preserve"> La menzione della </w:t>
      </w:r>
      <w:r>
        <w:rPr>
          <w:i/>
        </w:rPr>
        <w:t>domus</w:t>
      </w:r>
      <w:r>
        <w:t xml:space="preserve"> e il fatto che S. Zeno fosse rappresentato da un </w:t>
      </w:r>
      <w:r w:rsidRPr="000331BA">
        <w:rPr>
          <w:i/>
        </w:rPr>
        <w:t>vicedomus</w:t>
      </w:r>
      <w:r>
        <w:t xml:space="preserve"> potrebbe indurre a pensare che l’ente coinvolto nel placito sia da identificare con l’episcopio, come rivela Santoni (ChLA², LX, p. 79), la quale però ritiene più probabile che si trattasse della chiesa, come infatti proverebbe la menzione dell’incendio. </w:t>
      </w:r>
    </w:p>
  </w:endnote>
  <w:endnote w:id="9">
    <w:p w14:paraId="7BC88005" w14:textId="77777777" w:rsidR="00A31AB5" w:rsidRDefault="00A31AB5">
      <w:pPr>
        <w:pStyle w:val="Testonotadichiusura"/>
      </w:pPr>
      <w:r>
        <w:rPr>
          <w:rStyle w:val="Rimandonotadichiusura"/>
        </w:rPr>
        <w:endnoteRef/>
      </w:r>
      <w:r>
        <w:t xml:space="preserve"> Adige</w:t>
      </w:r>
    </w:p>
  </w:endnote>
  <w:endnote w:id="10">
    <w:p w14:paraId="55E4475C" w14:textId="77777777" w:rsidR="00476A86" w:rsidRDefault="00476A86" w:rsidP="00BA774F">
      <w:pPr>
        <w:pStyle w:val="Testonotadichiusura"/>
        <w:jc w:val="both"/>
      </w:pPr>
      <w:r>
        <w:rPr>
          <w:rStyle w:val="Rimandonotadichiusura"/>
        </w:rPr>
        <w:endnoteRef/>
      </w:r>
      <w:r>
        <w:t xml:space="preserve"> I placiti di area veronese, per questo periodo, presentano il termine di tradizione longobarda “intencio/intentio” che è preferito a “causa”, di ascendenza franco-carolingia (</w:t>
      </w:r>
      <w:r w:rsidRPr="00476A86">
        <w:rPr>
          <w:smallCaps/>
        </w:rPr>
        <w:t>Bougard</w:t>
      </w:r>
      <w:r>
        <w:t xml:space="preserve"> 1995, p. 129).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71D542" w14:textId="77777777" w:rsidR="00A50041" w:rsidRDefault="00A50041" w:rsidP="00BE2DFA">
      <w:r>
        <w:separator/>
      </w:r>
    </w:p>
  </w:footnote>
  <w:footnote w:type="continuationSeparator" w:id="0">
    <w:p w14:paraId="76CB045D" w14:textId="77777777" w:rsidR="00A50041" w:rsidRDefault="00A50041" w:rsidP="00BE2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F2452A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E33"/>
    <w:rsid w:val="000331BA"/>
    <w:rsid w:val="0007421E"/>
    <w:rsid w:val="00075BF4"/>
    <w:rsid w:val="000A0FE9"/>
    <w:rsid w:val="000B55FF"/>
    <w:rsid w:val="000C477A"/>
    <w:rsid w:val="001A2815"/>
    <w:rsid w:val="00222880"/>
    <w:rsid w:val="002A24D7"/>
    <w:rsid w:val="002C356E"/>
    <w:rsid w:val="002F7F98"/>
    <w:rsid w:val="00301374"/>
    <w:rsid w:val="003114EA"/>
    <w:rsid w:val="00352C98"/>
    <w:rsid w:val="00377E32"/>
    <w:rsid w:val="003A6F2F"/>
    <w:rsid w:val="003C338F"/>
    <w:rsid w:val="00403E03"/>
    <w:rsid w:val="004449CE"/>
    <w:rsid w:val="00467952"/>
    <w:rsid w:val="00476A86"/>
    <w:rsid w:val="004F2574"/>
    <w:rsid w:val="00531E44"/>
    <w:rsid w:val="00573C8A"/>
    <w:rsid w:val="005E41D7"/>
    <w:rsid w:val="005F0D65"/>
    <w:rsid w:val="00623BBD"/>
    <w:rsid w:val="006C789A"/>
    <w:rsid w:val="006D7080"/>
    <w:rsid w:val="006E4D80"/>
    <w:rsid w:val="006E558D"/>
    <w:rsid w:val="006F2C0F"/>
    <w:rsid w:val="0070009B"/>
    <w:rsid w:val="007061C7"/>
    <w:rsid w:val="00731916"/>
    <w:rsid w:val="0074419B"/>
    <w:rsid w:val="00763060"/>
    <w:rsid w:val="00764F45"/>
    <w:rsid w:val="00773E76"/>
    <w:rsid w:val="00774C19"/>
    <w:rsid w:val="0078469D"/>
    <w:rsid w:val="00794725"/>
    <w:rsid w:val="007A7667"/>
    <w:rsid w:val="007D31E7"/>
    <w:rsid w:val="007E5322"/>
    <w:rsid w:val="007F5B10"/>
    <w:rsid w:val="00843839"/>
    <w:rsid w:val="00860CF4"/>
    <w:rsid w:val="00884021"/>
    <w:rsid w:val="008B7C1E"/>
    <w:rsid w:val="008C5631"/>
    <w:rsid w:val="008D0508"/>
    <w:rsid w:val="009425C0"/>
    <w:rsid w:val="009E1180"/>
    <w:rsid w:val="009F4FEB"/>
    <w:rsid w:val="00A31AB5"/>
    <w:rsid w:val="00A50041"/>
    <w:rsid w:val="00A55108"/>
    <w:rsid w:val="00A676AE"/>
    <w:rsid w:val="00AB4A45"/>
    <w:rsid w:val="00B37163"/>
    <w:rsid w:val="00B545C9"/>
    <w:rsid w:val="00BA3E33"/>
    <w:rsid w:val="00BA774F"/>
    <w:rsid w:val="00BE2DFA"/>
    <w:rsid w:val="00C03B5D"/>
    <w:rsid w:val="00C25CF2"/>
    <w:rsid w:val="00C972E2"/>
    <w:rsid w:val="00CB224D"/>
    <w:rsid w:val="00CD1C3C"/>
    <w:rsid w:val="00CE63BF"/>
    <w:rsid w:val="00D4057A"/>
    <w:rsid w:val="00D41809"/>
    <w:rsid w:val="00D41897"/>
    <w:rsid w:val="00DA26B7"/>
    <w:rsid w:val="00DC27FD"/>
    <w:rsid w:val="00E545F0"/>
    <w:rsid w:val="00EC1722"/>
    <w:rsid w:val="00EF2AC3"/>
    <w:rsid w:val="00F61C6A"/>
    <w:rsid w:val="00F80DF6"/>
    <w:rsid w:val="00FC641E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74281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3C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E2DFA"/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BE2DF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BE2DFA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E2DFA"/>
    <w:rPr>
      <w:sz w:val="20"/>
      <w:szCs w:val="20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semiHidden/>
    <w:rsid w:val="00BE2DF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dichiusura">
    <w:name w:val="endnote reference"/>
    <w:basedOn w:val="Caratterepredefinitoparagrafo"/>
    <w:uiPriority w:val="99"/>
    <w:semiHidden/>
    <w:unhideWhenUsed/>
    <w:rsid w:val="00BE2DFA"/>
    <w:rPr>
      <w:vertAlign w:val="superscript"/>
    </w:rPr>
  </w:style>
  <w:style w:type="paragraph" w:styleId="Puntoelenco">
    <w:name w:val="List Bullet"/>
    <w:basedOn w:val="Normale"/>
    <w:uiPriority w:val="99"/>
    <w:unhideWhenUsed/>
    <w:rsid w:val="005F0D65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3C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E2DFA"/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BE2DF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BE2DFA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E2DFA"/>
    <w:rPr>
      <w:sz w:val="20"/>
      <w:szCs w:val="20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semiHidden/>
    <w:rsid w:val="00BE2DF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dichiusura">
    <w:name w:val="endnote reference"/>
    <w:basedOn w:val="Caratterepredefinitoparagrafo"/>
    <w:uiPriority w:val="99"/>
    <w:semiHidden/>
    <w:unhideWhenUsed/>
    <w:rsid w:val="00BE2DFA"/>
    <w:rPr>
      <w:vertAlign w:val="superscript"/>
    </w:rPr>
  </w:style>
  <w:style w:type="paragraph" w:styleId="Puntoelenco">
    <w:name w:val="List Bullet"/>
    <w:basedOn w:val="Normale"/>
    <w:uiPriority w:val="99"/>
    <w:unhideWhenUsed/>
    <w:rsid w:val="005F0D65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CF6A0-A34E-6440-9F29-ABA3FD20C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536</Words>
  <Characters>3059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MariaRosa</dc:creator>
  <cp:keywords/>
  <dc:description/>
  <cp:lastModifiedBy>Fidel Mbanga Bauna</cp:lastModifiedBy>
  <cp:revision>3</cp:revision>
  <cp:lastPrinted>2016-04-25T14:30:00Z</cp:lastPrinted>
  <dcterms:created xsi:type="dcterms:W3CDTF">2016-04-01T10:57:00Z</dcterms:created>
  <dcterms:modified xsi:type="dcterms:W3CDTF">2016-04-25T14:30:00Z</dcterms:modified>
</cp:coreProperties>
</file>