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8CE1CA" w14:textId="5213E0DD" w:rsidR="005D2AB4" w:rsidRDefault="001E1BBA" w:rsidP="005D2AB4">
      <w:pPr>
        <w:jc w:val="center"/>
        <w:rPr>
          <w:rFonts w:ascii="Times New Roman" w:hAnsi="Times New Roman"/>
        </w:rPr>
      </w:pPr>
      <w:r>
        <w:rPr>
          <w:rFonts w:ascii="Times New Roman" w:hAnsi="Times New Roman"/>
        </w:rPr>
        <w:t>997 luglio 1, Lucca</w:t>
      </w:r>
    </w:p>
    <w:p w14:paraId="3ABEF34D" w14:textId="77777777" w:rsidR="005D2AB4" w:rsidRDefault="005D2AB4" w:rsidP="005D2AB4">
      <w:pPr>
        <w:rPr>
          <w:rFonts w:ascii="Times New Roman" w:hAnsi="Times New Roman"/>
        </w:rPr>
      </w:pPr>
    </w:p>
    <w:p w14:paraId="4A88A08C" w14:textId="1ACC2F5F" w:rsidR="005D2AB4" w:rsidRDefault="00F83E93" w:rsidP="005D2AB4">
      <w:pPr>
        <w:jc w:val="both"/>
        <w:rPr>
          <w:rFonts w:ascii="Times New Roman" w:hAnsi="Times New Roman"/>
        </w:rPr>
      </w:pPr>
      <w:r>
        <w:rPr>
          <w:rFonts w:ascii="Times New Roman" w:hAnsi="Times New Roman"/>
        </w:rPr>
        <w:t>Un tribunale composto</w:t>
      </w:r>
      <w:r w:rsidR="005D2AB4">
        <w:rPr>
          <w:rFonts w:ascii="Times New Roman" w:hAnsi="Times New Roman"/>
        </w:rPr>
        <w:t xml:space="preserve"> da cinque </w:t>
      </w:r>
      <w:r w:rsidR="005D2AB4">
        <w:rPr>
          <w:rFonts w:ascii="Times New Roman" w:hAnsi="Times New Roman"/>
          <w:i/>
        </w:rPr>
        <w:t>iudices</w:t>
      </w:r>
      <w:r w:rsidR="008C702E">
        <w:rPr>
          <w:rFonts w:ascii="Times New Roman" w:hAnsi="Times New Roman"/>
        </w:rPr>
        <w:t>, da</w:t>
      </w:r>
      <w:r w:rsidR="005D2AB4">
        <w:rPr>
          <w:rFonts w:ascii="Times New Roman" w:hAnsi="Times New Roman"/>
        </w:rPr>
        <w:t xml:space="preserve"> un notaio imperiale, dal vicecomes Rainerius e da altri ventisette testimoni</w:t>
      </w:r>
      <w:r w:rsidR="002A5880">
        <w:rPr>
          <w:rFonts w:ascii="Times New Roman" w:hAnsi="Times New Roman"/>
        </w:rPr>
        <w:t>,</w:t>
      </w:r>
      <w:r w:rsidR="008C702E">
        <w:rPr>
          <w:rFonts w:ascii="Times New Roman" w:hAnsi="Times New Roman"/>
        </w:rPr>
        <w:t xml:space="preserve"> decide d</w:t>
      </w:r>
      <w:r w:rsidR="005D2AB4">
        <w:rPr>
          <w:rFonts w:ascii="Times New Roman" w:hAnsi="Times New Roman"/>
        </w:rPr>
        <w:t>ella lite</w:t>
      </w:r>
      <w:r w:rsidR="008C702E">
        <w:rPr>
          <w:rFonts w:ascii="Times New Roman" w:hAnsi="Times New Roman"/>
        </w:rPr>
        <w:t xml:space="preserve"> riguardante</w:t>
      </w:r>
      <w:r w:rsidR="005D2AB4">
        <w:rPr>
          <w:rFonts w:ascii="Times New Roman" w:hAnsi="Times New Roman"/>
        </w:rPr>
        <w:t xml:space="preserve"> alcuni libelli concessi dal vescovo di Lucca Gerardus</w:t>
      </w:r>
      <w:r w:rsidR="00DC2B87">
        <w:rPr>
          <w:rFonts w:ascii="Times New Roman" w:hAnsi="Times New Roman"/>
        </w:rPr>
        <w:t xml:space="preserve"> e</w:t>
      </w:r>
      <w:r w:rsidR="005D2AB4">
        <w:rPr>
          <w:rFonts w:ascii="Times New Roman" w:hAnsi="Times New Roman"/>
        </w:rPr>
        <w:t xml:space="preserve"> relativi alla pieve di Galicano.</w:t>
      </w:r>
    </w:p>
    <w:p w14:paraId="7683F0F3" w14:textId="77777777" w:rsidR="005D2AB4" w:rsidRDefault="005D2AB4" w:rsidP="005D2AB4">
      <w:pPr>
        <w:jc w:val="both"/>
        <w:rPr>
          <w:rFonts w:ascii="Times New Roman" w:hAnsi="Times New Roman"/>
        </w:rPr>
      </w:pPr>
    </w:p>
    <w:p w14:paraId="3EBF8F2A" w14:textId="750CC0E8" w:rsidR="005D2AB4" w:rsidRDefault="005D2AB4" w:rsidP="005D2AB4">
      <w:pPr>
        <w:jc w:val="both"/>
        <w:rPr>
          <w:rFonts w:ascii="Times New Roman" w:hAnsi="Times New Roman"/>
        </w:rPr>
      </w:pPr>
      <w:r>
        <w:rPr>
          <w:rFonts w:ascii="Times New Roman" w:hAnsi="Times New Roman"/>
        </w:rPr>
        <w:t>Originale, Archivio Arcivescovile di Lucca, *G. 43 [A]</w:t>
      </w:r>
      <w:r w:rsidR="00BB02C9">
        <w:rPr>
          <w:rStyle w:val="Refdenotaalfinal"/>
          <w:rFonts w:ascii="Times New Roman" w:hAnsi="Times New Roman"/>
        </w:rPr>
        <w:endnoteReference w:customMarkFollows="1" w:id="1"/>
        <w:t>*</w:t>
      </w:r>
      <w:r>
        <w:rPr>
          <w:rFonts w:ascii="Times New Roman" w:hAnsi="Times New Roman"/>
        </w:rPr>
        <w:t>.</w:t>
      </w:r>
    </w:p>
    <w:p w14:paraId="55E425E2" w14:textId="77777777" w:rsidR="005D2AB4" w:rsidRDefault="005D2AB4" w:rsidP="005D2AB4">
      <w:pPr>
        <w:jc w:val="both"/>
        <w:rPr>
          <w:rFonts w:ascii="Times New Roman" w:hAnsi="Times New Roman"/>
        </w:rPr>
      </w:pPr>
    </w:p>
    <w:p w14:paraId="2C8E30F6" w14:textId="5CF515D2" w:rsidR="005D2AB4" w:rsidRDefault="005D2AB4" w:rsidP="005D2AB4">
      <w:pPr>
        <w:jc w:val="both"/>
        <w:rPr>
          <w:rFonts w:ascii="Times New Roman" w:hAnsi="Times New Roman"/>
        </w:rPr>
      </w:pPr>
      <w:r>
        <w:rPr>
          <w:rFonts w:ascii="Times New Roman" w:hAnsi="Times New Roman"/>
        </w:rPr>
        <w:t>Edizioni: B</w:t>
      </w:r>
      <w:r w:rsidR="00217336">
        <w:rPr>
          <w:rFonts w:ascii="Times New Roman" w:hAnsi="Times New Roman"/>
        </w:rPr>
        <w:t>ertini</w:t>
      </w:r>
      <w:r>
        <w:rPr>
          <w:rFonts w:ascii="Times New Roman" w:hAnsi="Times New Roman"/>
        </w:rPr>
        <w:t xml:space="preserve">, </w:t>
      </w:r>
      <w:r w:rsidR="00DE2E62">
        <w:rPr>
          <w:rFonts w:ascii="Times New Roman" w:hAnsi="Times New Roman"/>
        </w:rPr>
        <w:t>IV/2, App. n. 72, pp. 94-95</w:t>
      </w:r>
    </w:p>
    <w:p w14:paraId="65F90962" w14:textId="77777777" w:rsidR="005D2AB4" w:rsidRDefault="005D2AB4" w:rsidP="005D2AB4">
      <w:pPr>
        <w:jc w:val="both"/>
        <w:rPr>
          <w:rFonts w:ascii="Times New Roman" w:hAnsi="Times New Roman"/>
        </w:rPr>
      </w:pPr>
    </w:p>
    <w:p w14:paraId="1DE9E166" w14:textId="04FE7128" w:rsidR="005D2AB4" w:rsidRDefault="005D2AB4" w:rsidP="005D2AB4">
      <w:pPr>
        <w:jc w:val="both"/>
        <w:rPr>
          <w:rFonts w:ascii="Times New Roman" w:hAnsi="Times New Roman"/>
        </w:rPr>
      </w:pPr>
      <w:r>
        <w:rPr>
          <w:rFonts w:ascii="Times New Roman" w:hAnsi="Times New Roman"/>
        </w:rPr>
        <w:t>(C) In Christi nomine. Breve</w:t>
      </w:r>
      <w:r>
        <w:rPr>
          <w:rStyle w:val="Refdenotaalfinal"/>
        </w:rPr>
        <w:endnoteReference w:customMarkFollows="1" w:id="2"/>
        <w:t>a</w:t>
      </w:r>
      <w:r>
        <w:rPr>
          <w:rFonts w:ascii="Times New Roman" w:hAnsi="Times New Roman"/>
        </w:rPr>
        <w:t xml:space="preserve"> pro modernis et futuris temporibus securitatis hac firmitatis</w:t>
      </w:r>
      <w:r>
        <w:rPr>
          <w:rStyle w:val="Refdenotaalfinal"/>
        </w:rPr>
        <w:endnoteReference w:customMarkFollows="1" w:id="3"/>
        <w:t>b</w:t>
      </w:r>
      <w:r>
        <w:rPr>
          <w:rFonts w:ascii="Times New Roman" w:hAnsi="Times New Roman"/>
        </w:rPr>
        <w:t xml:space="preserve"> ad memoriam abendam vel retinendam; qualiter infra hanc urbem Luca intus churte</w:t>
      </w:r>
      <w:r>
        <w:rPr>
          <w:rStyle w:val="Refdenotaalfinal"/>
        </w:rPr>
        <w:endnoteReference w:customMarkFollows="1" w:id="4"/>
        <w:t>c</w:t>
      </w:r>
      <w:r>
        <w:rPr>
          <w:rFonts w:ascii="Times New Roman" w:hAnsi="Times New Roman"/>
        </w:rPr>
        <w:t xml:space="preserve"> Rainerii et Fraolmi germani</w:t>
      </w:r>
      <w:r>
        <w:rPr>
          <w:rStyle w:val="Refdenotaalfinal"/>
        </w:rPr>
        <w:endnoteReference w:id="5"/>
      </w:r>
      <w:r>
        <w:rPr>
          <w:rFonts w:ascii="Times New Roman" w:hAnsi="Times New Roman"/>
        </w:rPr>
        <w:t xml:space="preserve"> vicecomitibus, presentia bonorum hominum, chorum nomina supter leguntur: fuit paratus Gherardus</w:t>
      </w:r>
      <w:r w:rsidR="00FA47AC">
        <w:rPr>
          <w:rStyle w:val="Refdenotaalfinal"/>
          <w:rFonts w:ascii="Times New Roman" w:hAnsi="Times New Roman"/>
        </w:rPr>
        <w:endnoteReference w:id="6"/>
      </w:r>
      <w:r>
        <w:rPr>
          <w:rFonts w:ascii="Times New Roman" w:hAnsi="Times New Roman"/>
        </w:rPr>
        <w:t xml:space="preserve"> episcopus in firmo constituto</w:t>
      </w:r>
      <w:r>
        <w:rPr>
          <w:rStyle w:val="Refdenotaalfinal"/>
        </w:rPr>
        <w:endnoteReference w:customMarkFollows="1" w:id="7"/>
        <w:t>d</w:t>
      </w:r>
      <w:r>
        <w:rPr>
          <w:rFonts w:ascii="Times New Roman" w:hAnsi="Times New Roman"/>
        </w:rPr>
        <w:t xml:space="preserve"> ipsa die kalendis iulii intus predicta curte Rainerii et Fraolmi germani, cum una cartula incapsata</w:t>
      </w:r>
      <w:r>
        <w:rPr>
          <w:rStyle w:val="Refdenotaalfinal"/>
        </w:rPr>
        <w:endnoteReference w:customMarkFollows="1" w:id="8"/>
        <w:t>e</w:t>
      </w:r>
      <w:r>
        <w:rPr>
          <w:rFonts w:ascii="Times New Roman" w:hAnsi="Times New Roman"/>
        </w:rPr>
        <w:t>, quas ipse episcopus etmissa abebat in Chunimundo</w:t>
      </w:r>
      <w:r>
        <w:rPr>
          <w:rStyle w:val="Refdenotaalfinal"/>
        </w:rPr>
        <w:endnoteReference w:customMarkFollows="1" w:id="9"/>
        <w:t>f</w:t>
      </w:r>
      <w:r w:rsidR="001E1BBA">
        <w:rPr>
          <w:rFonts w:ascii="Times New Roman" w:hAnsi="Times New Roman"/>
        </w:rPr>
        <w:t>, que Cunitio vocatur, filio bon</w:t>
      </w:r>
      <w:r>
        <w:rPr>
          <w:rFonts w:ascii="Times New Roman" w:hAnsi="Times New Roman"/>
        </w:rPr>
        <w:t>e memorie Sighifridi</w:t>
      </w:r>
      <w:r w:rsidR="00FD241F">
        <w:rPr>
          <w:rStyle w:val="Refdenotaalfinal"/>
          <w:rFonts w:ascii="Times New Roman" w:hAnsi="Times New Roman"/>
        </w:rPr>
        <w:endnoteReference w:id="10"/>
      </w:r>
      <w:r>
        <w:rPr>
          <w:rFonts w:ascii="Times New Roman" w:hAnsi="Times New Roman"/>
        </w:rPr>
        <w:t xml:space="preserve"> de Castello de Corfiliano</w:t>
      </w:r>
      <w:r>
        <w:rPr>
          <w:rStyle w:val="Refdenotaalfinal"/>
        </w:rPr>
        <w:endnoteReference w:customMarkFollows="1" w:id="11"/>
        <w:t>g</w:t>
      </w:r>
      <w:r>
        <w:rPr>
          <w:rFonts w:ascii="Times New Roman" w:hAnsi="Times New Roman"/>
        </w:rPr>
        <w:t>, et cum duo libelli, quas ipse Gherardo episcopus facti abebat in Sisemundo, filio bone memorie item Sisemundi, de medietatem de plebe</w:t>
      </w:r>
      <w:r w:rsidR="00685CE7">
        <w:rPr>
          <w:rStyle w:val="Refdenotaalfinal"/>
          <w:rFonts w:ascii="Times New Roman" w:hAnsi="Times New Roman"/>
        </w:rPr>
        <w:endnoteReference w:id="12"/>
      </w:r>
      <w:r>
        <w:rPr>
          <w:rFonts w:ascii="Times New Roman" w:hAnsi="Times New Roman"/>
        </w:rPr>
        <w:t xml:space="preserve"> de Ghalichano</w:t>
      </w:r>
      <w:r>
        <w:rPr>
          <w:rStyle w:val="Refdenotaalfinal"/>
        </w:rPr>
        <w:endnoteReference w:customMarkFollows="1" w:id="13"/>
        <w:t>h</w:t>
      </w:r>
      <w:r>
        <w:rPr>
          <w:rFonts w:ascii="Times New Roman" w:hAnsi="Times New Roman"/>
        </w:rPr>
        <w:t>, cum sua pertinentia. Uno ex ipsi libelli</w:t>
      </w:r>
      <w:r>
        <w:rPr>
          <w:rStyle w:val="Refdenotaalfinal"/>
        </w:rPr>
        <w:endnoteReference w:customMarkFollows="1" w:id="14"/>
        <w:t>i</w:t>
      </w:r>
      <w:r>
        <w:rPr>
          <w:rFonts w:ascii="Times New Roman" w:hAnsi="Times New Roman"/>
        </w:rPr>
        <w:t xml:space="preserve"> facto in grosso partita, et ille alio libello omnia per medietatem</w:t>
      </w:r>
      <w:r>
        <w:rPr>
          <w:rStyle w:val="Refdenotaalfinal"/>
        </w:rPr>
        <w:endnoteReference w:customMarkFollows="1" w:id="15"/>
        <w:t>j</w:t>
      </w:r>
      <w:r>
        <w:rPr>
          <w:rFonts w:ascii="Times New Roman" w:hAnsi="Times New Roman"/>
        </w:rPr>
        <w:t>, sicut antea inter eis convenit, et secundum ipsa comandationem, que comandaverunt predicto Gherardo episcopus, et predicto Sisemundo uno libello</w:t>
      </w:r>
      <w:r>
        <w:rPr>
          <w:rStyle w:val="Refdenotaalfinal"/>
        </w:rPr>
        <w:endnoteReference w:customMarkFollows="1" w:id="16"/>
        <w:t>k</w:t>
      </w:r>
      <w:r>
        <w:rPr>
          <w:rFonts w:ascii="Times New Roman" w:hAnsi="Times New Roman"/>
        </w:rPr>
        <w:t xml:space="preserve"> de integra ipsa plebe, que ipse Gherardus episcopus etmissus</w:t>
      </w:r>
      <w:r>
        <w:rPr>
          <w:rStyle w:val="Refdenotaalfinal"/>
        </w:rPr>
        <w:endnoteReference w:customMarkFollows="1" w:id="17"/>
        <w:t>l</w:t>
      </w:r>
      <w:r>
        <w:rPr>
          <w:rFonts w:ascii="Times New Roman" w:hAnsi="Times New Roman"/>
        </w:rPr>
        <w:t xml:space="preserve"> abebat in predicto Sisemundo. Et ipso libello abet in comandationem suprascripto Fraolmi vicecomes. Et ipse Gherardus episcopus fuit paratus ad recipiendum medietatem pena de uno libello</w:t>
      </w:r>
      <w:r w:rsidR="00E44B0A">
        <w:rPr>
          <w:rStyle w:val="Refdenotaalfinal"/>
          <w:rFonts w:ascii="Times New Roman" w:hAnsi="Times New Roman"/>
        </w:rPr>
        <w:endnoteReference w:customMarkFollows="1" w:id="18"/>
        <w:t>m</w:t>
      </w:r>
      <w:r>
        <w:rPr>
          <w:rFonts w:ascii="Times New Roman" w:hAnsi="Times New Roman"/>
        </w:rPr>
        <w:t>, quas ipse Gherardus episcopus etmissus</w:t>
      </w:r>
      <w:r w:rsidR="00E44B0A">
        <w:rPr>
          <w:rStyle w:val="Refdenotaalfinal"/>
          <w:rFonts w:ascii="Times New Roman" w:hAnsi="Times New Roman"/>
        </w:rPr>
        <w:endnoteReference w:customMarkFollows="1" w:id="19"/>
        <w:t>n</w:t>
      </w:r>
      <w:r>
        <w:rPr>
          <w:rFonts w:ascii="Times New Roman" w:hAnsi="Times New Roman"/>
        </w:rPr>
        <w:t xml:space="preserve"> abebat in Iohannes et Chunitio, seo Petrus clerico plevani de Ghalicano</w:t>
      </w:r>
      <w:r w:rsidR="00E44B0A">
        <w:rPr>
          <w:rStyle w:val="Refdenotaalfinal"/>
          <w:rFonts w:ascii="Times New Roman" w:hAnsi="Times New Roman"/>
        </w:rPr>
        <w:endnoteReference w:customMarkFollows="1" w:id="20"/>
        <w:t>o</w:t>
      </w:r>
      <w:r>
        <w:rPr>
          <w:rFonts w:ascii="Times New Roman" w:hAnsi="Times New Roman"/>
        </w:rPr>
        <w:t>. Et fuit paratus ipse Gherardus episcopus ad recipiendum pignora ipsa da ipso Sisemundo, sicut cut illa comandationem facta fuit. Et sic ipse Gherardus episcopus omnia, qualiter superius legitur, sic fuit paratus in ipso firmo constituto usque ad solis ocaus</w:t>
      </w:r>
      <w:r w:rsidR="00E44B0A">
        <w:rPr>
          <w:rStyle w:val="Refdenotaalfinal"/>
          <w:rFonts w:ascii="Times New Roman" w:hAnsi="Times New Roman"/>
        </w:rPr>
        <w:endnoteReference w:customMarkFollows="1" w:id="21"/>
        <w:t>p</w:t>
      </w:r>
      <w:r>
        <w:rPr>
          <w:rFonts w:ascii="Times New Roman" w:hAnsi="Times New Roman"/>
        </w:rPr>
        <w:t xml:space="preserve"> eidem Sisemundi ad faciendum se ipse Sisemundo ipsa predicta cartula incapsata, et predicti libelli minime recipere noluit. Et omnia qualiter superius legitur ipse Sisemundo se exinde suptraxit, et minime facere voluit. Hoc factum est in presentia Sighefredi, Teuperti, Gherardi, Gundalprandi</w:t>
      </w:r>
      <w:r w:rsidR="00E5054C">
        <w:rPr>
          <w:rStyle w:val="Refdenotaalfinal"/>
          <w:rFonts w:ascii="Times New Roman" w:hAnsi="Times New Roman"/>
        </w:rPr>
        <w:endnoteReference w:customMarkFollows="1" w:id="22"/>
        <w:t>q</w:t>
      </w:r>
      <w:r>
        <w:rPr>
          <w:rFonts w:ascii="Times New Roman" w:hAnsi="Times New Roman"/>
        </w:rPr>
        <w:t>, Hildighisi iudicibus domini imperatoris, Petri notarii domni imperatoris, Raineri vicecomes, cum filio suo nomine Vuido, Donucci, Chunimundi et Enrichi germani, Gherardi et Sisemundi germani, Sighifridi de Bugiano</w:t>
      </w:r>
      <w:r w:rsidR="00E5054C">
        <w:rPr>
          <w:rStyle w:val="Refdenotaalfinal"/>
          <w:rFonts w:ascii="Times New Roman" w:hAnsi="Times New Roman"/>
        </w:rPr>
        <w:endnoteReference w:customMarkFollows="1" w:id="23"/>
        <w:t>r</w:t>
      </w:r>
      <w:r>
        <w:rPr>
          <w:rFonts w:ascii="Times New Roman" w:hAnsi="Times New Roman"/>
        </w:rPr>
        <w:t>, Benti et Sighifridi germani, Sighifridi filio Gottisi di Petri, Iohanni et Vuidi germani, Lei et Adalberti germani, Cristofani vicedomino</w:t>
      </w:r>
      <w:r>
        <w:rPr>
          <w:rFonts w:ascii="Times New Roman" w:hAnsi="Times New Roman"/>
          <w:b/>
        </w:rPr>
        <w:t xml:space="preserve">, </w:t>
      </w:r>
      <w:r>
        <w:rPr>
          <w:rFonts w:ascii="Times New Roman" w:hAnsi="Times New Roman"/>
        </w:rPr>
        <w:t>Cuniti qui et Teuprandi, Citi filio bone memorie Cuniti, Alboni, Gunditi, Iohanni, Rodelandi filio bome memorie Sisemundi, Ilditi filio bone memorie Ausi di Petri, Georgii Lanfranchi et Tadi germani et reliquis. Hoc factum est anno regni domni nostri Ottoni gloriosissimi Imperatoris Augusto, nepus domni Ottoni Imperatoris, Imperii eius in Italia secundo, ipsa die kalendis iulii, indictione decima.</w:t>
      </w:r>
    </w:p>
    <w:p w14:paraId="3078D601" w14:textId="0A472BBB" w:rsidR="005D2AB4" w:rsidRDefault="005D2AB4" w:rsidP="005D2AB4">
      <w:pPr>
        <w:jc w:val="both"/>
        <w:rPr>
          <w:rFonts w:ascii="Times New Roman" w:hAnsi="Times New Roman"/>
        </w:rPr>
      </w:pPr>
      <w:r>
        <w:rPr>
          <w:rFonts w:ascii="Times New Roman" w:hAnsi="Times New Roman"/>
        </w:rPr>
        <w:t>(S) Sigefredus</w:t>
      </w:r>
      <w:r w:rsidR="00E5054C">
        <w:rPr>
          <w:rStyle w:val="Refdenotaalfinal"/>
          <w:rFonts w:ascii="Times New Roman" w:hAnsi="Times New Roman"/>
        </w:rPr>
        <w:endnoteReference w:customMarkFollows="1" w:id="24"/>
        <w:t>s</w:t>
      </w:r>
      <w:r>
        <w:rPr>
          <w:rFonts w:ascii="Times New Roman" w:hAnsi="Times New Roman"/>
        </w:rPr>
        <w:t xml:space="preserve"> iudex domni imperatoris ibi fui.</w:t>
      </w:r>
    </w:p>
    <w:p w14:paraId="26B6B6F0" w14:textId="77777777" w:rsidR="005D2AB4" w:rsidRDefault="005D2AB4" w:rsidP="005D2AB4">
      <w:pPr>
        <w:jc w:val="both"/>
        <w:rPr>
          <w:rFonts w:ascii="Times New Roman" w:hAnsi="Times New Roman"/>
        </w:rPr>
      </w:pPr>
      <w:r>
        <w:rPr>
          <w:rFonts w:ascii="Times New Roman" w:hAnsi="Times New Roman"/>
        </w:rPr>
        <w:t>(S) Teutpertus iudex domni imperatoris ibi fui.</w:t>
      </w:r>
    </w:p>
    <w:p w14:paraId="4A94CF1B" w14:textId="65430477" w:rsidR="005D2AB4" w:rsidRDefault="005D2AB4" w:rsidP="005D2AB4">
      <w:pPr>
        <w:jc w:val="both"/>
        <w:rPr>
          <w:rFonts w:ascii="Times New Roman" w:hAnsi="Times New Roman"/>
        </w:rPr>
      </w:pPr>
      <w:r>
        <w:rPr>
          <w:rFonts w:ascii="Times New Roman" w:hAnsi="Times New Roman"/>
        </w:rPr>
        <w:t>(S)</w:t>
      </w:r>
      <w:r w:rsidR="00C8136B">
        <w:rPr>
          <w:rStyle w:val="Refdenotaalfinal"/>
          <w:rFonts w:ascii="Times New Roman" w:hAnsi="Times New Roman"/>
        </w:rPr>
        <w:endnoteReference w:customMarkFollows="1" w:id="25"/>
        <w:t>t</w:t>
      </w:r>
      <w:r>
        <w:rPr>
          <w:rFonts w:ascii="Times New Roman" w:hAnsi="Times New Roman"/>
        </w:rPr>
        <w:t xml:space="preserve"> Gheradus iudex domni imperatoris ibi fui. (S) Ildeghisus iudex domni imperatoris ibi fui.</w:t>
      </w:r>
    </w:p>
    <w:p w14:paraId="49DA284F" w14:textId="47174134" w:rsidR="005D2AB4" w:rsidRDefault="005D2AB4" w:rsidP="005D2AB4">
      <w:pPr>
        <w:jc w:val="both"/>
        <w:rPr>
          <w:rFonts w:ascii="Times New Roman" w:hAnsi="Times New Roman"/>
        </w:rPr>
      </w:pPr>
      <w:r>
        <w:rPr>
          <w:rFonts w:ascii="Times New Roman" w:hAnsi="Times New Roman"/>
        </w:rPr>
        <w:t>(S) Gundalprandus iudex domni imperatoris ibi fui</w:t>
      </w:r>
      <w:r w:rsidR="00633888">
        <w:rPr>
          <w:rStyle w:val="Refdenotaalfinal"/>
          <w:rFonts w:ascii="Times New Roman" w:hAnsi="Times New Roman"/>
        </w:rPr>
        <w:endnoteReference w:id="26"/>
      </w:r>
      <w:r>
        <w:rPr>
          <w:rFonts w:ascii="Times New Roman" w:hAnsi="Times New Roman"/>
        </w:rPr>
        <w:t>.</w:t>
      </w:r>
    </w:p>
    <w:p w14:paraId="51492EF2" w14:textId="5670F942" w:rsidR="005D2AB4" w:rsidRDefault="005D2AB4" w:rsidP="005D2AB4">
      <w:pPr>
        <w:jc w:val="both"/>
        <w:rPr>
          <w:rFonts w:ascii="Times New Roman" w:hAnsi="Times New Roman"/>
        </w:rPr>
      </w:pPr>
      <w:r>
        <w:rPr>
          <w:rFonts w:ascii="Times New Roman" w:hAnsi="Times New Roman"/>
        </w:rPr>
        <w:t>(S) Petrus notarius domni imperatoris ibi fui. (S) Vuido ibi fui.</w:t>
      </w:r>
    </w:p>
    <w:p w14:paraId="7F9AE85B" w14:textId="77777777" w:rsidR="005D2AB4" w:rsidRDefault="005D2AB4" w:rsidP="005D2AB4">
      <w:pPr>
        <w:jc w:val="both"/>
        <w:rPr>
          <w:rFonts w:ascii="Times New Roman" w:hAnsi="Times New Roman"/>
        </w:rPr>
      </w:pPr>
      <w:r>
        <w:rPr>
          <w:rFonts w:ascii="Times New Roman" w:hAnsi="Times New Roman"/>
        </w:rPr>
        <w:t>(S) Ego Raineri vicecomes ibi fui. (S) Ego Gherardo ibi fui.</w:t>
      </w:r>
    </w:p>
    <w:p w14:paraId="74D0E138" w14:textId="77777777" w:rsidR="005D2AB4" w:rsidRDefault="005D2AB4" w:rsidP="005D2AB4">
      <w:pPr>
        <w:jc w:val="both"/>
        <w:rPr>
          <w:rFonts w:ascii="Times New Roman" w:hAnsi="Times New Roman"/>
        </w:rPr>
      </w:pPr>
      <w:r>
        <w:rPr>
          <w:rFonts w:ascii="Times New Roman" w:hAnsi="Times New Roman"/>
        </w:rPr>
        <w:t>(S) Ego Domnucio ibi fui. (S) Ego Petrus ibi fui. (S) Ego Leo ibi fui.</w:t>
      </w:r>
    </w:p>
    <w:p w14:paraId="0C5D0C6B" w14:textId="77777777" w:rsidR="005D2AB4" w:rsidRDefault="005D2AB4" w:rsidP="005D2AB4">
      <w:pPr>
        <w:jc w:val="both"/>
        <w:rPr>
          <w:rFonts w:ascii="Times New Roman" w:hAnsi="Times New Roman"/>
        </w:rPr>
      </w:pPr>
      <w:r>
        <w:rPr>
          <w:rFonts w:ascii="Times New Roman" w:hAnsi="Times New Roman"/>
        </w:rPr>
        <w:lastRenderedPageBreak/>
        <w:t>(S) Ego Iohannes ibi fui. + Ego Enricho ibi fui.</w:t>
      </w:r>
    </w:p>
    <w:p w14:paraId="68B22E13" w14:textId="77777777" w:rsidR="005D2AB4" w:rsidRDefault="005D2AB4" w:rsidP="005D2AB4">
      <w:pPr>
        <w:jc w:val="both"/>
        <w:rPr>
          <w:rFonts w:ascii="Times New Roman" w:hAnsi="Times New Roman"/>
        </w:rPr>
      </w:pPr>
      <w:r>
        <w:rPr>
          <w:rFonts w:ascii="Times New Roman" w:hAnsi="Times New Roman"/>
        </w:rPr>
        <w:t>(S) Griffus notarius et iudex domni imperatoris, qui hunc breve scripsi et ibidem fui.</w:t>
      </w:r>
    </w:p>
    <w:p w14:paraId="58CE540B" w14:textId="77777777" w:rsidR="000C3CA6" w:rsidRDefault="000C3CA6"/>
    <w:sectPr w:rsidR="000C3CA6">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97F14C" w14:textId="77777777" w:rsidR="005D2AB4" w:rsidRDefault="005D2AB4" w:rsidP="005D2AB4">
      <w:r>
        <w:separator/>
      </w:r>
    </w:p>
  </w:endnote>
  <w:endnote w:type="continuationSeparator" w:id="0">
    <w:p w14:paraId="50BA895F" w14:textId="77777777" w:rsidR="005D2AB4" w:rsidRDefault="005D2AB4" w:rsidP="005D2AB4">
      <w:r>
        <w:continuationSeparator/>
      </w:r>
    </w:p>
  </w:endnote>
  <w:endnote w:id="1">
    <w:p w14:paraId="6564C2EF" w14:textId="4E3E5CB9" w:rsidR="00BB02C9" w:rsidRDefault="00BB02C9" w:rsidP="00BB02C9">
      <w:pPr>
        <w:pStyle w:val="Textonotaalfinal"/>
      </w:pPr>
      <w:r>
        <w:rPr>
          <w:rStyle w:val="Refdenotaalfinal"/>
        </w:rPr>
        <w:t>*</w:t>
      </w:r>
      <w:r>
        <w:t xml:space="preserve"> La revisione della trascrizione è stata condotta sulla base del confronto</w:t>
      </w:r>
      <w:r w:rsidR="00DC2B87">
        <w:t xml:space="preserve"> con la</w:t>
      </w:r>
      <w:r>
        <w:t xml:space="preserve"> pergamena originale; per esigenze di uniformità interne al progetto, si è scelto di riportare in nota, come per le altre precedenti trascrizioni, le varianti di Bertini, che tuttavia non diede alle stampe un’edizione completa della carta ma si limitò a trascrivere soltanto gli elementi costitutivi del documento.</w:t>
      </w:r>
    </w:p>
  </w:endnote>
  <w:endnote w:id="2">
    <w:p w14:paraId="5A841E12" w14:textId="77777777" w:rsidR="005D2AB4" w:rsidRDefault="005D2AB4" w:rsidP="005D2AB4">
      <w:pPr>
        <w:pStyle w:val="Textonotaalfinal"/>
      </w:pPr>
      <w:r>
        <w:rPr>
          <w:rStyle w:val="Refdenotaalfinal"/>
        </w:rPr>
        <w:t>a</w:t>
      </w:r>
      <w:r>
        <w:t xml:space="preserve"> In Bertini segue “memorie” che, però, è assente dall’originale.</w:t>
      </w:r>
    </w:p>
  </w:endnote>
  <w:endnote w:id="3">
    <w:p w14:paraId="198284D0" w14:textId="3DB1793C" w:rsidR="005D2AB4" w:rsidRDefault="005D2AB4" w:rsidP="005D2AB4">
      <w:pPr>
        <w:pStyle w:val="Textonotaalfinal"/>
      </w:pPr>
      <w:r>
        <w:rPr>
          <w:rStyle w:val="Refdenotaalfinal"/>
        </w:rPr>
        <w:t>b</w:t>
      </w:r>
      <w:r w:rsidR="00942FD9">
        <w:t xml:space="preserve"> “securitatis hac firmitatis” è</w:t>
      </w:r>
      <w:r>
        <w:t xml:space="preserve"> assente in Bertini.</w:t>
      </w:r>
    </w:p>
  </w:endnote>
  <w:endnote w:id="4">
    <w:p w14:paraId="3F2DE519" w14:textId="77777777" w:rsidR="005D2AB4" w:rsidRDefault="005D2AB4" w:rsidP="005D2AB4">
      <w:pPr>
        <w:pStyle w:val="Textonotaalfinal"/>
      </w:pPr>
      <w:r>
        <w:rPr>
          <w:rStyle w:val="Refdenotaalfinal"/>
        </w:rPr>
        <w:t>c</w:t>
      </w:r>
      <w:r>
        <w:t xml:space="preserve"> In Bertini “curte”.</w:t>
      </w:r>
    </w:p>
  </w:endnote>
  <w:endnote w:id="5">
    <w:p w14:paraId="5EBAB923" w14:textId="0813FC71" w:rsidR="005D2AB4" w:rsidRDefault="005D2AB4" w:rsidP="005D2AB4">
      <w:pPr>
        <w:pStyle w:val="Textonotaalfinal"/>
      </w:pPr>
      <w:r>
        <w:rPr>
          <w:rStyle w:val="Refdenotaalfinal"/>
        </w:rPr>
        <w:endnoteRef/>
      </w:r>
      <w:r>
        <w:t xml:space="preserve"> I fratelli, figli d</w:t>
      </w:r>
      <w:r w:rsidR="001245FB">
        <w:t xml:space="preserve">el visconte Fraolmo, detenevano, in qualità di </w:t>
      </w:r>
      <w:r w:rsidR="001245FB">
        <w:rPr>
          <w:i/>
        </w:rPr>
        <w:t xml:space="preserve">libellarii </w:t>
      </w:r>
      <w:r w:rsidR="001245FB">
        <w:t xml:space="preserve">dell’episcopio di Lucca, </w:t>
      </w:r>
      <w:r>
        <w:t>corti, ren</w:t>
      </w:r>
      <w:r w:rsidR="00781420">
        <w:t>dite e decime di alcune pievi</w:t>
      </w:r>
      <w:r>
        <w:t xml:space="preserve">: MDL, vol. V/3, docc. nn. 1662, 1663, 1664, 1665, 1668, 1669, 1670, 1675 e 1676. Sulla figura del visconte vid. Miller 1989, pp. 93-105. La famiglia era imparentata con il vescovo di Lucca Guido (979-983), cugino del visconte, </w:t>
      </w:r>
      <w:r w:rsidR="005C112D">
        <w:t>Andreolli 1983</w:t>
      </w:r>
      <w:r w:rsidR="00053EB7">
        <w:t xml:space="preserve">, pp. </w:t>
      </w:r>
      <w:r w:rsidR="002E0A0B">
        <w:t xml:space="preserve">79-93 e </w:t>
      </w:r>
      <w:r>
        <w:t>Spicciani 1996, p. 339.</w:t>
      </w:r>
    </w:p>
  </w:endnote>
  <w:endnote w:id="6">
    <w:p w14:paraId="3047B6FE" w14:textId="34C708D9" w:rsidR="00FA47AC" w:rsidRPr="00FA47AC" w:rsidRDefault="00FA47AC">
      <w:pPr>
        <w:pStyle w:val="Textonotaalfinal"/>
        <w:rPr>
          <w:lang w:val="es-ES_tradnl"/>
        </w:rPr>
      </w:pPr>
      <w:r>
        <w:rPr>
          <w:rStyle w:val="Refdenotaalfinal"/>
        </w:rPr>
        <w:endnoteRef/>
      </w:r>
      <w:r>
        <w:t xml:space="preserve"> </w:t>
      </w:r>
      <w:r>
        <w:rPr>
          <w:lang w:val="es-ES_tradnl"/>
        </w:rPr>
        <w:t>Ranallo 1973, pp. 733-734.</w:t>
      </w:r>
    </w:p>
  </w:endnote>
  <w:endnote w:id="7">
    <w:p w14:paraId="3C5D5160" w14:textId="77777777" w:rsidR="005D2AB4" w:rsidRDefault="005D2AB4" w:rsidP="005D2AB4">
      <w:pPr>
        <w:pStyle w:val="Textonotaalfinal"/>
      </w:pPr>
      <w:r>
        <w:rPr>
          <w:rStyle w:val="Refdenotaalfinal"/>
        </w:rPr>
        <w:t>d</w:t>
      </w:r>
      <w:r>
        <w:t xml:space="preserve"> In Bertini “constituo”.</w:t>
      </w:r>
    </w:p>
  </w:endnote>
  <w:endnote w:id="8">
    <w:p w14:paraId="6307ABA9" w14:textId="77777777" w:rsidR="005D2AB4" w:rsidRDefault="005D2AB4" w:rsidP="005D2AB4">
      <w:pPr>
        <w:pStyle w:val="Textonotaalfinal"/>
      </w:pPr>
      <w:r>
        <w:rPr>
          <w:rStyle w:val="Refdenotaalfinal"/>
        </w:rPr>
        <w:t>e</w:t>
      </w:r>
      <w:r>
        <w:t xml:space="preserve"> Si desidera. Per altri riferimenti a “cartulae incapsatae”, non valide: MDL, vol. V/3 doc. nn. 27 e 29.</w:t>
      </w:r>
    </w:p>
  </w:endnote>
  <w:endnote w:id="9">
    <w:p w14:paraId="38515FCA" w14:textId="1C138FDF" w:rsidR="005D2AB4" w:rsidRDefault="005D2AB4" w:rsidP="005D2AB4">
      <w:pPr>
        <w:pStyle w:val="Textonotaalfinal"/>
      </w:pPr>
      <w:r>
        <w:rPr>
          <w:rStyle w:val="Refdenotaalfinal"/>
        </w:rPr>
        <w:t>f</w:t>
      </w:r>
      <w:r>
        <w:t xml:space="preserve"> In Bertini “C</w:t>
      </w:r>
      <w:r w:rsidR="001E1BBA">
        <w:t>uu</w:t>
      </w:r>
      <w:r>
        <w:t>imundo”.</w:t>
      </w:r>
    </w:p>
  </w:endnote>
  <w:endnote w:id="10">
    <w:p w14:paraId="65522EE0" w14:textId="12DBAAEC" w:rsidR="00FD241F" w:rsidRPr="00FD241F" w:rsidRDefault="00FD241F">
      <w:pPr>
        <w:pStyle w:val="Textonotaalfinal"/>
        <w:rPr>
          <w:lang w:val="es-ES_tradnl"/>
        </w:rPr>
      </w:pPr>
      <w:r>
        <w:rPr>
          <w:rStyle w:val="Refdenotaalfinal"/>
        </w:rPr>
        <w:endnoteRef/>
      </w:r>
      <w:r>
        <w:t xml:space="preserve"> </w:t>
      </w:r>
      <w:r>
        <w:rPr>
          <w:lang w:val="es-ES_tradnl"/>
        </w:rPr>
        <w:t>Su questo personaggio</w:t>
      </w:r>
      <w:r w:rsidR="00D75598">
        <w:rPr>
          <w:lang w:val="es-ES_tradnl"/>
        </w:rPr>
        <w:t xml:space="preserve"> E</w:t>
      </w:r>
      <w:r w:rsidR="004835E0">
        <w:rPr>
          <w:lang w:val="es-ES_tradnl"/>
        </w:rPr>
        <w:t>lde</w:t>
      </w:r>
      <w:r w:rsidR="00D75598">
        <w:rPr>
          <w:lang w:val="es-ES_tradnl"/>
        </w:rPr>
        <w:t>vik</w:t>
      </w:r>
      <w:r w:rsidR="004835E0">
        <w:rPr>
          <w:lang w:val="es-ES_tradnl"/>
        </w:rPr>
        <w:t xml:space="preserve"> 2012, pp. 156 e ss.</w:t>
      </w:r>
    </w:p>
  </w:endnote>
  <w:endnote w:id="11">
    <w:p w14:paraId="24D4A9B7" w14:textId="77777777" w:rsidR="005D2AB4" w:rsidRDefault="005D2AB4" w:rsidP="005D2AB4">
      <w:pPr>
        <w:pStyle w:val="Textonotaalfinal"/>
      </w:pPr>
      <w:r>
        <w:rPr>
          <w:rStyle w:val="Refdenotaalfinal"/>
        </w:rPr>
        <w:t>g</w:t>
      </w:r>
      <w:r>
        <w:t xml:space="preserve"> In Bertini “Corfiliana”.</w:t>
      </w:r>
    </w:p>
  </w:endnote>
  <w:endnote w:id="12">
    <w:p w14:paraId="0E02391B" w14:textId="77777777" w:rsidR="00685CE7" w:rsidRPr="001E1BBA" w:rsidRDefault="00685CE7" w:rsidP="00685CE7">
      <w:pPr>
        <w:pStyle w:val="Textonotaalfinal"/>
        <w:rPr>
          <w:lang w:val="es-ES_tradnl"/>
        </w:rPr>
      </w:pPr>
      <w:r>
        <w:rPr>
          <w:rStyle w:val="Refdenotaalfinal"/>
        </w:rPr>
        <w:endnoteRef/>
      </w:r>
      <w:r>
        <w:t xml:space="preserve"> Sul problema relativo alla cessione delle pievi tramite libello a Lucca nell’ultimo terzo del X secolo: Eldevik 2012, p. 155-165.</w:t>
      </w:r>
    </w:p>
  </w:endnote>
  <w:endnote w:id="13">
    <w:p w14:paraId="0D7FA973" w14:textId="77777777" w:rsidR="005D2AB4" w:rsidRDefault="005D2AB4" w:rsidP="005D2AB4">
      <w:pPr>
        <w:pStyle w:val="Textonotaalfinal"/>
      </w:pPr>
      <w:r>
        <w:rPr>
          <w:rStyle w:val="Refdenotaalfinal"/>
        </w:rPr>
        <w:t>h</w:t>
      </w:r>
      <w:r>
        <w:t xml:space="preserve"> In Bertini “Galichano”.</w:t>
      </w:r>
    </w:p>
  </w:endnote>
  <w:endnote w:id="14">
    <w:p w14:paraId="75945DB1" w14:textId="77777777" w:rsidR="005D2AB4" w:rsidRDefault="005D2AB4" w:rsidP="005D2AB4">
      <w:pPr>
        <w:pStyle w:val="Textonotaalfinal"/>
      </w:pPr>
      <w:r>
        <w:rPr>
          <w:rStyle w:val="Refdenotaalfinal"/>
        </w:rPr>
        <w:t>i</w:t>
      </w:r>
      <w:r>
        <w:t xml:space="preserve"> Si desidera</w:t>
      </w:r>
    </w:p>
  </w:endnote>
  <w:endnote w:id="15">
    <w:p w14:paraId="57DB42FD" w14:textId="77777777" w:rsidR="005D2AB4" w:rsidRDefault="005D2AB4" w:rsidP="005D2AB4">
      <w:pPr>
        <w:pStyle w:val="Textonotaalfinal"/>
      </w:pPr>
      <w:r>
        <w:rPr>
          <w:rStyle w:val="Refdenotaalfinal"/>
        </w:rPr>
        <w:t>j</w:t>
      </w:r>
      <w:r>
        <w:t xml:space="preserve"> Barsocchini, V/3, doc. n. 1718.</w:t>
      </w:r>
    </w:p>
  </w:endnote>
  <w:endnote w:id="16">
    <w:p w14:paraId="11A5CF23" w14:textId="77777777" w:rsidR="005D2AB4" w:rsidRDefault="005D2AB4" w:rsidP="005D2AB4">
      <w:pPr>
        <w:pStyle w:val="Textonotaalfinal"/>
      </w:pPr>
      <w:r>
        <w:rPr>
          <w:rStyle w:val="Refdenotaalfinal"/>
        </w:rPr>
        <w:t>k</w:t>
      </w:r>
      <w:r>
        <w:t xml:space="preserve"> Si desidera.</w:t>
      </w:r>
    </w:p>
  </w:endnote>
  <w:endnote w:id="17">
    <w:p w14:paraId="2108226C" w14:textId="77777777" w:rsidR="005D2AB4" w:rsidRDefault="005D2AB4" w:rsidP="005D2AB4">
      <w:pPr>
        <w:pStyle w:val="Textonotaalfinal"/>
      </w:pPr>
      <w:r>
        <w:rPr>
          <w:rStyle w:val="Refdenotaalfinal"/>
        </w:rPr>
        <w:t>l</w:t>
      </w:r>
      <w:r>
        <w:t xml:space="preserve"> In Bertini “emissus”.</w:t>
      </w:r>
    </w:p>
  </w:endnote>
  <w:endnote w:id="18">
    <w:p w14:paraId="063EEDC9" w14:textId="68AEF8DC" w:rsidR="00E44B0A" w:rsidRDefault="00E44B0A" w:rsidP="00E44B0A">
      <w:pPr>
        <w:pStyle w:val="Textonotaalfinal"/>
      </w:pPr>
      <w:r>
        <w:rPr>
          <w:rStyle w:val="Refdenotaalfinal"/>
        </w:rPr>
        <w:t>m</w:t>
      </w:r>
      <w:r>
        <w:t xml:space="preserve"> Si desidera</w:t>
      </w:r>
    </w:p>
  </w:endnote>
  <w:endnote w:id="19">
    <w:p w14:paraId="33EBD180" w14:textId="1A9441A6" w:rsidR="00E44B0A" w:rsidRDefault="00E44B0A" w:rsidP="005D2AB4">
      <w:pPr>
        <w:pStyle w:val="Textonotaalfinal"/>
      </w:pPr>
      <w:r>
        <w:rPr>
          <w:rStyle w:val="Refdenotaalfinal"/>
        </w:rPr>
        <w:t>n</w:t>
      </w:r>
      <w:r>
        <w:t xml:space="preserve"> In Bertini “emissus”.</w:t>
      </w:r>
    </w:p>
  </w:endnote>
  <w:endnote w:id="20">
    <w:p w14:paraId="2639698C" w14:textId="557A475A" w:rsidR="00E44B0A" w:rsidRDefault="00E44B0A" w:rsidP="005D2AB4">
      <w:pPr>
        <w:pStyle w:val="Textonotaalfinal"/>
      </w:pPr>
      <w:r>
        <w:rPr>
          <w:rStyle w:val="Refdenotaalfinal"/>
        </w:rPr>
        <w:t>o</w:t>
      </w:r>
      <w:r>
        <w:t xml:space="preserve"> In Bertini “Galicano”.</w:t>
      </w:r>
    </w:p>
  </w:endnote>
  <w:endnote w:id="21">
    <w:p w14:paraId="780B33D8" w14:textId="6E932033" w:rsidR="00E44B0A" w:rsidRDefault="00E44B0A" w:rsidP="005D2AB4">
      <w:pPr>
        <w:pStyle w:val="Textonotaalfinal"/>
      </w:pPr>
      <w:r>
        <w:rPr>
          <w:rStyle w:val="Refdenotaalfinal"/>
        </w:rPr>
        <w:t>p</w:t>
      </w:r>
      <w:r>
        <w:t xml:space="preserve"> Per “ad solis occasum”.</w:t>
      </w:r>
    </w:p>
  </w:endnote>
  <w:endnote w:id="22">
    <w:p w14:paraId="5E554E57" w14:textId="74B4B8F4" w:rsidR="00E5054C" w:rsidRDefault="00E5054C" w:rsidP="005D2AB4">
      <w:pPr>
        <w:pStyle w:val="Textonotaalfinal"/>
      </w:pPr>
      <w:r>
        <w:rPr>
          <w:rStyle w:val="Refdenotaalfinal"/>
        </w:rPr>
        <w:t>q</w:t>
      </w:r>
      <w:r>
        <w:t xml:space="preserve"> In Bertini “Gundelprandi”.</w:t>
      </w:r>
    </w:p>
  </w:endnote>
  <w:endnote w:id="23">
    <w:p w14:paraId="20EF1570" w14:textId="3AC61038" w:rsidR="00E5054C" w:rsidRPr="00B94FCD" w:rsidRDefault="00E5054C" w:rsidP="005D2AB4">
      <w:pPr>
        <w:pStyle w:val="Textonotaalfinal"/>
      </w:pPr>
      <w:r>
        <w:rPr>
          <w:rStyle w:val="Refdenotaalfinal"/>
        </w:rPr>
        <w:t>r</w:t>
      </w:r>
      <w:r>
        <w:t xml:space="preserve"> Dopo Sigefredo di Buiano e sino a “reliqui” tutti i nomi trascritti mancano nell’edizione di Bertini, che risolse la lista con </w:t>
      </w:r>
      <w:r w:rsidR="00781420">
        <w:t xml:space="preserve">degli </w:t>
      </w:r>
      <w:r w:rsidR="00781420">
        <w:rPr>
          <w:i/>
        </w:rPr>
        <w:t>omissis</w:t>
      </w:r>
      <w:r w:rsidR="00B94FCD">
        <w:t>.</w:t>
      </w:r>
    </w:p>
  </w:endnote>
  <w:endnote w:id="24">
    <w:p w14:paraId="6EE96150" w14:textId="39282159" w:rsidR="00E5054C" w:rsidRDefault="00E5054C" w:rsidP="005D2AB4">
      <w:pPr>
        <w:pStyle w:val="Textonotaalfinal"/>
      </w:pPr>
      <w:r>
        <w:rPr>
          <w:rStyle w:val="Refdenotaalfinal"/>
        </w:rPr>
        <w:t>s</w:t>
      </w:r>
      <w:r>
        <w:t xml:space="preserve"> In Bertini “Sigefridus”.</w:t>
      </w:r>
    </w:p>
  </w:endnote>
  <w:endnote w:id="25">
    <w:p w14:paraId="4407F5B0" w14:textId="374191B6" w:rsidR="00C8136B" w:rsidRDefault="00C8136B" w:rsidP="005D2AB4">
      <w:pPr>
        <w:pStyle w:val="Textonotaalfinal"/>
      </w:pPr>
      <w:r>
        <w:rPr>
          <w:rStyle w:val="Refdenotaalfinal"/>
        </w:rPr>
        <w:t>t</w:t>
      </w:r>
      <w:r>
        <w:t xml:space="preserve"> Questa sottoscrizione e tutte quelle che seguono in calce al breve sino a quella del notaio Griffo non sono presenti nell’edizione di Bertini, </w:t>
      </w:r>
      <w:r w:rsidR="00941F85">
        <w:t xml:space="preserve">che si </w:t>
      </w:r>
      <w:r w:rsidR="0003083A">
        <w:t>limita</w:t>
      </w:r>
      <w:r>
        <w:t xml:space="preserve"> a segnalare, dopo la sottoscrizione del </w:t>
      </w:r>
      <w:r w:rsidR="007C20EA">
        <w:t>g</w:t>
      </w:r>
      <w:r>
        <w:t>iudice Teutpertus</w:t>
      </w:r>
      <w:r w:rsidR="001B178D">
        <w:t>:</w:t>
      </w:r>
      <w:r>
        <w:t xml:space="preserve"> “Seguono altri sottoscritti, poi”.</w:t>
      </w:r>
    </w:p>
  </w:endnote>
  <w:endnote w:id="26">
    <w:p w14:paraId="622D34C4" w14:textId="160B5E1B" w:rsidR="00633888" w:rsidRPr="00633888" w:rsidRDefault="00633888" w:rsidP="00633888">
      <w:pPr>
        <w:pStyle w:val="Textonotaalfinal"/>
        <w:rPr>
          <w:lang w:val="es-ES_tradnl"/>
        </w:rPr>
      </w:pPr>
      <w:r>
        <w:rPr>
          <w:rStyle w:val="Refdenotaalfinal"/>
        </w:rPr>
        <w:endnoteRef/>
      </w:r>
      <w:r>
        <w:t xml:space="preserve"> </w:t>
      </w:r>
      <w:r>
        <w:rPr>
          <w:lang w:val="es-ES_tradnl"/>
        </w:rPr>
        <w:t xml:space="preserve">Su questo gruppo di </w:t>
      </w:r>
      <w:r>
        <w:rPr>
          <w:i/>
          <w:lang w:val="es-ES_tradnl"/>
        </w:rPr>
        <w:t>iudices</w:t>
      </w:r>
      <w:r>
        <w:rPr>
          <w:lang w:val="es-ES_tradnl"/>
        </w:rPr>
        <w:t xml:space="preserve"> </w:t>
      </w:r>
      <w:r w:rsidR="00AD54A5">
        <w:rPr>
          <w:lang w:val="es-ES_tradnl"/>
        </w:rPr>
        <w:t xml:space="preserve">v. </w:t>
      </w:r>
      <w:bookmarkStart w:id="0" w:name="_GoBack"/>
      <w:bookmarkEnd w:id="0"/>
      <w:r>
        <w:rPr>
          <w:lang w:val="es-ES_tradnl"/>
        </w:rPr>
        <w:t xml:space="preserve">Radding 2013, </w:t>
      </w:r>
      <w:r w:rsidRPr="00AD54A5">
        <w:rPr>
          <w:i/>
          <w:lang w:val="es-ES_tradnl"/>
        </w:rPr>
        <w:t>Appendice.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7B1823" w14:textId="77777777" w:rsidR="005D2AB4" w:rsidRDefault="005D2AB4" w:rsidP="005D2AB4">
      <w:r>
        <w:separator/>
      </w:r>
    </w:p>
  </w:footnote>
  <w:footnote w:type="continuationSeparator" w:id="0">
    <w:p w14:paraId="3D73A658" w14:textId="77777777" w:rsidR="005D2AB4" w:rsidRDefault="005D2AB4" w:rsidP="005D2A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AB4"/>
    <w:rsid w:val="0003083A"/>
    <w:rsid w:val="00053EB7"/>
    <w:rsid w:val="00084859"/>
    <w:rsid w:val="000C3CA6"/>
    <w:rsid w:val="001245FB"/>
    <w:rsid w:val="001B178D"/>
    <w:rsid w:val="001E1BBA"/>
    <w:rsid w:val="00217336"/>
    <w:rsid w:val="00272587"/>
    <w:rsid w:val="002A5880"/>
    <w:rsid w:val="002E0A0B"/>
    <w:rsid w:val="003D607A"/>
    <w:rsid w:val="003E3136"/>
    <w:rsid w:val="004835E0"/>
    <w:rsid w:val="004C31EB"/>
    <w:rsid w:val="004E1870"/>
    <w:rsid w:val="005C112D"/>
    <w:rsid w:val="005D2AB4"/>
    <w:rsid w:val="00633888"/>
    <w:rsid w:val="00685CE7"/>
    <w:rsid w:val="0070041F"/>
    <w:rsid w:val="00701F81"/>
    <w:rsid w:val="00781420"/>
    <w:rsid w:val="007C20EA"/>
    <w:rsid w:val="00855AC8"/>
    <w:rsid w:val="00887370"/>
    <w:rsid w:val="008C702E"/>
    <w:rsid w:val="008D3FE7"/>
    <w:rsid w:val="00941F85"/>
    <w:rsid w:val="00942FD9"/>
    <w:rsid w:val="00A55473"/>
    <w:rsid w:val="00AD29DB"/>
    <w:rsid w:val="00AD54A5"/>
    <w:rsid w:val="00AE40BA"/>
    <w:rsid w:val="00B94FCD"/>
    <w:rsid w:val="00BB02C9"/>
    <w:rsid w:val="00C8136B"/>
    <w:rsid w:val="00D56D5C"/>
    <w:rsid w:val="00D75598"/>
    <w:rsid w:val="00DA5B7A"/>
    <w:rsid w:val="00DC2B87"/>
    <w:rsid w:val="00DE2E62"/>
    <w:rsid w:val="00E44B0A"/>
    <w:rsid w:val="00E5054C"/>
    <w:rsid w:val="00F55577"/>
    <w:rsid w:val="00F559AD"/>
    <w:rsid w:val="00F62320"/>
    <w:rsid w:val="00F83E93"/>
    <w:rsid w:val="00FA47AC"/>
    <w:rsid w:val="00FD241F"/>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9AA725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AB4"/>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5D2AB4"/>
    <w:pPr>
      <w:jc w:val="both"/>
    </w:pPr>
    <w:rPr>
      <w:rFonts w:ascii="Times New Roman" w:hAnsi="Times New Roman"/>
      <w:sz w:val="20"/>
    </w:rPr>
  </w:style>
  <w:style w:type="character" w:customStyle="1" w:styleId="TextonotaalfinalCar">
    <w:name w:val="Texto nota al final Car"/>
    <w:basedOn w:val="Fuentedeprrafopredeter"/>
    <w:link w:val="Textonotaalfinal"/>
    <w:rsid w:val="005D2AB4"/>
    <w:rPr>
      <w:rFonts w:ascii="Times New Roman" w:eastAsia="Times" w:hAnsi="Times New Roman" w:cs="Times New Roman"/>
      <w:noProof/>
      <w:sz w:val="20"/>
      <w:szCs w:val="20"/>
    </w:rPr>
  </w:style>
  <w:style w:type="character" w:styleId="Refdenotaalfinal">
    <w:name w:val="endnote reference"/>
    <w:rsid w:val="005D2AB4"/>
    <w:rPr>
      <w:vertAlign w:val="superscript"/>
    </w:rPr>
  </w:style>
  <w:style w:type="paragraph" w:styleId="Textonotapie">
    <w:name w:val="footnote text"/>
    <w:basedOn w:val="Normal"/>
    <w:link w:val="TextonotapieCar"/>
    <w:uiPriority w:val="99"/>
    <w:unhideWhenUsed/>
    <w:rsid w:val="00FD241F"/>
    <w:rPr>
      <w:szCs w:val="24"/>
    </w:rPr>
  </w:style>
  <w:style w:type="character" w:customStyle="1" w:styleId="TextonotapieCar">
    <w:name w:val="Texto nota pie Car"/>
    <w:basedOn w:val="Fuentedeprrafopredeter"/>
    <w:link w:val="Textonotapie"/>
    <w:uiPriority w:val="99"/>
    <w:rsid w:val="00FD241F"/>
    <w:rPr>
      <w:rFonts w:ascii="Times" w:eastAsia="Times" w:hAnsi="Times" w:cs="Times New Roman"/>
      <w:noProof/>
    </w:rPr>
  </w:style>
  <w:style w:type="character" w:styleId="Refdenotaalpie">
    <w:name w:val="footnote reference"/>
    <w:basedOn w:val="Fuentedeprrafopredeter"/>
    <w:uiPriority w:val="99"/>
    <w:unhideWhenUsed/>
    <w:rsid w:val="00FD241F"/>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AB4"/>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5D2AB4"/>
    <w:pPr>
      <w:jc w:val="both"/>
    </w:pPr>
    <w:rPr>
      <w:rFonts w:ascii="Times New Roman" w:hAnsi="Times New Roman"/>
      <w:sz w:val="20"/>
    </w:rPr>
  </w:style>
  <w:style w:type="character" w:customStyle="1" w:styleId="TextonotaalfinalCar">
    <w:name w:val="Texto nota al final Car"/>
    <w:basedOn w:val="Fuentedeprrafopredeter"/>
    <w:link w:val="Textonotaalfinal"/>
    <w:rsid w:val="005D2AB4"/>
    <w:rPr>
      <w:rFonts w:ascii="Times New Roman" w:eastAsia="Times" w:hAnsi="Times New Roman" w:cs="Times New Roman"/>
      <w:noProof/>
      <w:sz w:val="20"/>
      <w:szCs w:val="20"/>
    </w:rPr>
  </w:style>
  <w:style w:type="character" w:styleId="Refdenotaalfinal">
    <w:name w:val="endnote reference"/>
    <w:rsid w:val="005D2AB4"/>
    <w:rPr>
      <w:vertAlign w:val="superscript"/>
    </w:rPr>
  </w:style>
  <w:style w:type="paragraph" w:styleId="Textonotapie">
    <w:name w:val="footnote text"/>
    <w:basedOn w:val="Normal"/>
    <w:link w:val="TextonotapieCar"/>
    <w:uiPriority w:val="99"/>
    <w:unhideWhenUsed/>
    <w:rsid w:val="00FD241F"/>
    <w:rPr>
      <w:szCs w:val="24"/>
    </w:rPr>
  </w:style>
  <w:style w:type="character" w:customStyle="1" w:styleId="TextonotapieCar">
    <w:name w:val="Texto nota pie Car"/>
    <w:basedOn w:val="Fuentedeprrafopredeter"/>
    <w:link w:val="Textonotapie"/>
    <w:uiPriority w:val="99"/>
    <w:rsid w:val="00FD241F"/>
    <w:rPr>
      <w:rFonts w:ascii="Times" w:eastAsia="Times" w:hAnsi="Times" w:cs="Times New Roman"/>
      <w:noProof/>
    </w:rPr>
  </w:style>
  <w:style w:type="character" w:styleId="Refdenotaalpie">
    <w:name w:val="footnote reference"/>
    <w:basedOn w:val="Fuentedeprrafopredeter"/>
    <w:uiPriority w:val="99"/>
    <w:unhideWhenUsed/>
    <w:rsid w:val="00FD24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553</Words>
  <Characters>3042</Characters>
  <Application>Microsoft Macintosh Word</Application>
  <DocSecurity>0</DocSecurity>
  <Lines>25</Lines>
  <Paragraphs>7</Paragraphs>
  <ScaleCrop>false</ScaleCrop>
  <Company>casita</Company>
  <LinksUpToDate>false</LinksUpToDate>
  <CharactersWithSpaces>3588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57</cp:revision>
  <dcterms:created xsi:type="dcterms:W3CDTF">2015-11-30T10:28:00Z</dcterms:created>
  <dcterms:modified xsi:type="dcterms:W3CDTF">2015-12-22T10:53:00Z</dcterms:modified>
</cp:coreProperties>
</file>