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3CF327" w14:textId="70898D03" w:rsidR="000246BE" w:rsidRDefault="000246BE" w:rsidP="00CC3675">
      <w:pPr>
        <w:ind w:left="708" w:hanging="708"/>
        <w:jc w:val="center"/>
        <w:rPr>
          <w:rFonts w:ascii="Times New Roman" w:hAnsi="Times New Roman"/>
        </w:rPr>
      </w:pPr>
      <w:r>
        <w:rPr>
          <w:rFonts w:ascii="Times New Roman" w:hAnsi="Times New Roman"/>
        </w:rPr>
        <w:t>996 maggio (1-6), Ravenna</w:t>
      </w:r>
      <w:r w:rsidR="00937C8C">
        <w:rPr>
          <w:rStyle w:val="Refdenotaalfinal"/>
          <w:rFonts w:ascii="Times New Roman" w:hAnsi="Times New Roman"/>
        </w:rPr>
        <w:endnoteReference w:id="1"/>
      </w:r>
    </w:p>
    <w:p w14:paraId="2749249E" w14:textId="77777777" w:rsidR="000246BE" w:rsidRDefault="000246BE" w:rsidP="000246BE">
      <w:pPr>
        <w:jc w:val="both"/>
        <w:rPr>
          <w:rFonts w:ascii="Times New Roman" w:hAnsi="Times New Roman"/>
        </w:rPr>
      </w:pPr>
    </w:p>
    <w:p w14:paraId="3C0E8835" w14:textId="036DBED2" w:rsidR="000246BE" w:rsidRDefault="000246BE" w:rsidP="000246BE">
      <w:pPr>
        <w:jc w:val="both"/>
        <w:rPr>
          <w:rFonts w:ascii="Times New Roman" w:hAnsi="Times New Roman"/>
        </w:rPr>
      </w:pPr>
      <w:r>
        <w:rPr>
          <w:rFonts w:ascii="Times New Roman" w:hAnsi="Times New Roman"/>
        </w:rPr>
        <w:t>Nel placito presieduto da re Otton</w:t>
      </w:r>
      <w:r w:rsidR="003D7230">
        <w:rPr>
          <w:rFonts w:ascii="Times New Roman" w:hAnsi="Times New Roman"/>
        </w:rPr>
        <w:t>e, Boni</w:t>
      </w:r>
      <w:r w:rsidR="002E3230">
        <w:rPr>
          <w:rFonts w:ascii="Times New Roman" w:hAnsi="Times New Roman"/>
        </w:rPr>
        <w:t>zo</w:t>
      </w:r>
      <w:r w:rsidR="000D4311">
        <w:rPr>
          <w:rFonts w:ascii="Times New Roman" w:hAnsi="Times New Roman"/>
        </w:rPr>
        <w:t xml:space="preserve"> abate del</w:t>
      </w:r>
      <w:r w:rsidR="00B848D5">
        <w:rPr>
          <w:rFonts w:ascii="Times New Roman" w:hAnsi="Times New Roman"/>
        </w:rPr>
        <w:t xml:space="preserve"> monast</w:t>
      </w:r>
      <w:r w:rsidR="000D4311">
        <w:rPr>
          <w:rFonts w:ascii="Times New Roman" w:hAnsi="Times New Roman"/>
        </w:rPr>
        <w:t>ero</w:t>
      </w:r>
      <w:r w:rsidR="00B848D5">
        <w:rPr>
          <w:rFonts w:ascii="Times New Roman" w:hAnsi="Times New Roman"/>
        </w:rPr>
        <w:t xml:space="preserve"> delle Sante</w:t>
      </w:r>
      <w:r w:rsidR="003D54FF">
        <w:rPr>
          <w:rFonts w:ascii="Times New Roman" w:hAnsi="Times New Roman"/>
        </w:rPr>
        <w:t xml:space="preserve"> Fiora e Lucilla e di Sant’</w:t>
      </w:r>
      <w:r>
        <w:rPr>
          <w:rFonts w:ascii="Times New Roman" w:hAnsi="Times New Roman"/>
        </w:rPr>
        <w:t>Andrea</w:t>
      </w:r>
      <w:r w:rsidR="00EE3AC2">
        <w:rPr>
          <w:rFonts w:ascii="Times New Roman" w:hAnsi="Times New Roman"/>
        </w:rPr>
        <w:t>,</w:t>
      </w:r>
      <w:r>
        <w:rPr>
          <w:rFonts w:ascii="Times New Roman" w:hAnsi="Times New Roman"/>
        </w:rPr>
        <w:t xml:space="preserve"> </w:t>
      </w:r>
      <w:r w:rsidR="00BB1DCE">
        <w:rPr>
          <w:rFonts w:ascii="Times New Roman" w:hAnsi="Times New Roman"/>
          <w:i/>
        </w:rPr>
        <w:t>in comitato aretino</w:t>
      </w:r>
      <w:r w:rsidR="00EE3AC2">
        <w:rPr>
          <w:rFonts w:ascii="Times New Roman" w:hAnsi="Times New Roman"/>
        </w:rPr>
        <w:t>,</w:t>
      </w:r>
      <w:r>
        <w:rPr>
          <w:rFonts w:ascii="Times New Roman" w:hAnsi="Times New Roman"/>
        </w:rPr>
        <w:t xml:space="preserve"> </w:t>
      </w:r>
      <w:r w:rsidR="00900DC7">
        <w:rPr>
          <w:rFonts w:ascii="Times New Roman" w:hAnsi="Times New Roman"/>
        </w:rPr>
        <w:t>riceve l’investitura</w:t>
      </w:r>
      <w:r w:rsidR="00A7111F">
        <w:rPr>
          <w:rFonts w:ascii="Times New Roman" w:hAnsi="Times New Roman"/>
        </w:rPr>
        <w:t>,</w:t>
      </w:r>
      <w:r>
        <w:rPr>
          <w:rFonts w:ascii="Times New Roman" w:hAnsi="Times New Roman"/>
        </w:rPr>
        <w:t xml:space="preserve"> </w:t>
      </w:r>
      <w:r>
        <w:rPr>
          <w:rFonts w:ascii="Times New Roman" w:hAnsi="Times New Roman"/>
          <w:i/>
        </w:rPr>
        <w:t>salva</w:t>
      </w:r>
      <w:r w:rsidRPr="00AA0176">
        <w:rPr>
          <w:rFonts w:ascii="Times New Roman" w:hAnsi="Times New Roman"/>
          <w:i/>
        </w:rPr>
        <w:t xml:space="preserve"> querela</w:t>
      </w:r>
      <w:r w:rsidR="00AA0176">
        <w:rPr>
          <w:rFonts w:ascii="Times New Roman" w:hAnsi="Times New Roman"/>
        </w:rPr>
        <w:t>, d</w:t>
      </w:r>
      <w:r w:rsidRPr="00AA0176">
        <w:rPr>
          <w:rFonts w:ascii="Times New Roman" w:hAnsi="Times New Roman"/>
        </w:rPr>
        <w:t>el</w:t>
      </w:r>
      <w:r>
        <w:rPr>
          <w:rFonts w:ascii="Times New Roman" w:hAnsi="Times New Roman"/>
        </w:rPr>
        <w:t xml:space="preserve"> possesso dei beni che erano stati donati al monastero </w:t>
      </w:r>
      <w:r w:rsidR="007D5DFD">
        <w:rPr>
          <w:rFonts w:ascii="Times New Roman" w:hAnsi="Times New Roman"/>
        </w:rPr>
        <w:t>da re Hu</w:t>
      </w:r>
      <w:r>
        <w:rPr>
          <w:rFonts w:ascii="Times New Roman" w:hAnsi="Times New Roman"/>
        </w:rPr>
        <w:t>go e che gli venivano co</w:t>
      </w:r>
      <w:r w:rsidR="00876217">
        <w:rPr>
          <w:rFonts w:ascii="Times New Roman" w:hAnsi="Times New Roman"/>
        </w:rPr>
        <w:t>ntrastati dai fratelli Adelbertus e Albertus</w:t>
      </w:r>
      <w:r w:rsidR="00940E6B">
        <w:rPr>
          <w:rFonts w:ascii="Times New Roman" w:hAnsi="Times New Roman"/>
        </w:rPr>
        <w:t>,</w:t>
      </w:r>
      <w:r w:rsidR="00940E6B" w:rsidRPr="00940E6B">
        <w:rPr>
          <w:rFonts w:ascii="Times New Roman" w:hAnsi="Times New Roman"/>
        </w:rPr>
        <w:t xml:space="preserve"> </w:t>
      </w:r>
      <w:r w:rsidR="008C1E0D">
        <w:rPr>
          <w:rFonts w:ascii="Times New Roman" w:hAnsi="Times New Roman"/>
        </w:rPr>
        <w:t xml:space="preserve">figli del fu </w:t>
      </w:r>
      <w:r w:rsidR="00940E6B">
        <w:rPr>
          <w:rFonts w:ascii="Times New Roman" w:hAnsi="Times New Roman"/>
        </w:rPr>
        <w:t>Holberti</w:t>
      </w:r>
      <w:r w:rsidR="009678B5">
        <w:rPr>
          <w:rFonts w:ascii="Times New Roman" w:hAnsi="Times New Roman"/>
        </w:rPr>
        <w:t>,</w:t>
      </w:r>
      <w:r w:rsidR="00876217">
        <w:rPr>
          <w:rFonts w:ascii="Times New Roman" w:hAnsi="Times New Roman"/>
        </w:rPr>
        <w:t xml:space="preserve"> e da Everardus</w:t>
      </w:r>
      <w:r w:rsidR="00672A0F">
        <w:rPr>
          <w:rFonts w:ascii="Times New Roman" w:hAnsi="Times New Roman"/>
        </w:rPr>
        <w:t>,</w:t>
      </w:r>
      <w:r>
        <w:rPr>
          <w:rFonts w:ascii="Times New Roman" w:hAnsi="Times New Roman"/>
        </w:rPr>
        <w:t xml:space="preserve"> </w:t>
      </w:r>
      <w:r w:rsidR="002553D1">
        <w:rPr>
          <w:rFonts w:ascii="Times New Roman" w:hAnsi="Times New Roman"/>
        </w:rPr>
        <w:t xml:space="preserve">figlio del fu </w:t>
      </w:r>
      <w:bookmarkStart w:id="0" w:name="_GoBack"/>
      <w:bookmarkEnd w:id="0"/>
      <w:r w:rsidR="00566AC9">
        <w:rPr>
          <w:rFonts w:ascii="Times New Roman" w:hAnsi="Times New Roman"/>
        </w:rPr>
        <w:t>Gualcheri</w:t>
      </w:r>
      <w:r w:rsidR="003E5160">
        <w:rPr>
          <w:rFonts w:ascii="Times New Roman" w:hAnsi="Times New Roman"/>
        </w:rPr>
        <w:t>. Il tribunale, inoltre, impone</w:t>
      </w:r>
      <w:r>
        <w:rPr>
          <w:rFonts w:ascii="Times New Roman" w:hAnsi="Times New Roman"/>
        </w:rPr>
        <w:t xml:space="preserve"> un bando di duemila mancosi d’oro.</w:t>
      </w:r>
    </w:p>
    <w:p w14:paraId="148C25AF" w14:textId="77777777" w:rsidR="000246BE" w:rsidRDefault="000246BE" w:rsidP="000246BE">
      <w:pPr>
        <w:jc w:val="both"/>
        <w:rPr>
          <w:rFonts w:ascii="Times New Roman" w:hAnsi="Times New Roman"/>
        </w:rPr>
      </w:pPr>
    </w:p>
    <w:p w14:paraId="4634AC60" w14:textId="55D60FF2" w:rsidR="00934492" w:rsidRDefault="00934492" w:rsidP="000246BE">
      <w:pPr>
        <w:jc w:val="both"/>
        <w:rPr>
          <w:rFonts w:ascii="Times New Roman" w:hAnsi="Times New Roman"/>
        </w:rPr>
      </w:pPr>
      <w:r>
        <w:rPr>
          <w:rFonts w:ascii="Times New Roman" w:hAnsi="Times New Roman"/>
        </w:rPr>
        <w:t>Originale.</w:t>
      </w:r>
    </w:p>
    <w:p w14:paraId="5F8E688A" w14:textId="7B619A40" w:rsidR="000246BE" w:rsidRDefault="002E3230" w:rsidP="000246BE">
      <w:pPr>
        <w:jc w:val="both"/>
        <w:rPr>
          <w:rFonts w:ascii="Times New Roman" w:hAnsi="Times New Roman"/>
        </w:rPr>
      </w:pPr>
      <w:r>
        <w:rPr>
          <w:rFonts w:ascii="Times New Roman" w:hAnsi="Times New Roman"/>
        </w:rPr>
        <w:t>Archivio Capitolare di Arezzo,</w:t>
      </w:r>
      <w:r w:rsidR="000246BE">
        <w:rPr>
          <w:rFonts w:ascii="Times New Roman" w:hAnsi="Times New Roman"/>
        </w:rPr>
        <w:t xml:space="preserve"> Carte di SS. Fiora e Lucilla, n. 29 [A]</w:t>
      </w:r>
      <w:r w:rsidR="00030941">
        <w:rPr>
          <w:rStyle w:val="Refdenotaalfinal"/>
          <w:rFonts w:ascii="Times New Roman" w:hAnsi="Times New Roman"/>
        </w:rPr>
        <w:endnoteReference w:customMarkFollows="1" w:id="2"/>
        <w:t>*</w:t>
      </w:r>
      <w:r w:rsidR="00030941">
        <w:rPr>
          <w:rFonts w:ascii="Times New Roman" w:hAnsi="Times New Roman"/>
        </w:rPr>
        <w:t>.</w:t>
      </w:r>
    </w:p>
    <w:p w14:paraId="754D5849" w14:textId="77777777" w:rsidR="000246BE" w:rsidRDefault="000246BE" w:rsidP="000246BE">
      <w:pPr>
        <w:jc w:val="both"/>
        <w:rPr>
          <w:rFonts w:ascii="Times New Roman" w:hAnsi="Times New Roman"/>
        </w:rPr>
      </w:pPr>
    </w:p>
    <w:p w14:paraId="3340E6C6" w14:textId="3CBAC45C" w:rsidR="000246BE" w:rsidRDefault="000246BE" w:rsidP="000246BE">
      <w:pPr>
        <w:jc w:val="both"/>
        <w:rPr>
          <w:rFonts w:ascii="Times New Roman" w:hAnsi="Times New Roman"/>
        </w:rPr>
      </w:pPr>
      <w:r>
        <w:rPr>
          <w:rFonts w:ascii="Times New Roman" w:hAnsi="Times New Roman"/>
        </w:rPr>
        <w:t>Edizioni: M</w:t>
      </w:r>
      <w:r w:rsidR="000B03B5">
        <w:rPr>
          <w:rFonts w:ascii="Times New Roman" w:hAnsi="Times New Roman"/>
        </w:rPr>
        <w:t>anaresi</w:t>
      </w:r>
      <w:r w:rsidR="00D64193">
        <w:rPr>
          <w:rFonts w:ascii="Times New Roman" w:hAnsi="Times New Roman"/>
        </w:rPr>
        <w:t>, n. 227</w:t>
      </w:r>
    </w:p>
    <w:p w14:paraId="5BE21651" w14:textId="77777777" w:rsidR="000246BE" w:rsidRDefault="000246BE" w:rsidP="000246BE">
      <w:pPr>
        <w:jc w:val="both"/>
        <w:rPr>
          <w:rFonts w:ascii="Times New Roman" w:hAnsi="Times New Roman"/>
        </w:rPr>
      </w:pPr>
    </w:p>
    <w:p w14:paraId="0B7EF9D8" w14:textId="2F2D3DB1" w:rsidR="000246BE" w:rsidRDefault="000246BE" w:rsidP="000246BE">
      <w:pPr>
        <w:jc w:val="both"/>
        <w:rPr>
          <w:rFonts w:ascii="Times New Roman" w:hAnsi="Times New Roman"/>
        </w:rPr>
      </w:pPr>
      <w:r>
        <w:rPr>
          <w:rFonts w:ascii="Times New Roman" w:hAnsi="Times New Roman"/>
        </w:rPr>
        <w:t>+ In nomine domini Dei eterni. Regnante domno Ottone</w:t>
      </w:r>
      <w:r>
        <w:rPr>
          <w:rStyle w:val="Refdenotaalfinal"/>
        </w:rPr>
        <w:endnoteReference w:customMarkFollows="1" w:id="3"/>
        <w:t>a</w:t>
      </w:r>
      <w:r>
        <w:rPr>
          <w:rFonts w:ascii="Times New Roman" w:hAnsi="Times New Roman"/>
        </w:rPr>
        <w:t xml:space="preserve"> piissimo rege anno rengni pietatis eius in Italia sede primo, mense madii, indictione nona, foras porta sancti Laurentii infra palatius domni nos</w:t>
      </w:r>
      <w:r w:rsidR="00C81E6C">
        <w:rPr>
          <w:rFonts w:ascii="Times New Roman" w:hAnsi="Times New Roman"/>
        </w:rPr>
        <w:t>tri regis. Ea bene gesta esse vi</w:t>
      </w:r>
      <w:r>
        <w:rPr>
          <w:rFonts w:ascii="Times New Roman" w:hAnsi="Times New Roman"/>
        </w:rPr>
        <w:t>dentur, ne prolissis temporibus memoriter retinere non possunt, ideo scripture vinculis anotari ecum est. Igitur cum Christi ausilio dum ressidere in iuditio et in generali placito domnus Otto</w:t>
      </w:r>
      <w:r>
        <w:rPr>
          <w:rStyle w:val="Refdenotaalfinal"/>
        </w:rPr>
        <w:endnoteReference w:customMarkFollows="1" w:id="4"/>
        <w:t>b</w:t>
      </w:r>
      <w:r>
        <w:rPr>
          <w:rFonts w:ascii="Times New Roman" w:hAnsi="Times New Roman"/>
        </w:rPr>
        <w:t xml:space="preserve"> piissimo rege infra suprascripto palatio et iustitias fatiendans et altercationes cum singulis hominibus deliberandas, </w:t>
      </w:r>
      <w:r w:rsidR="00F4089F">
        <w:rPr>
          <w:rFonts w:ascii="Times New Roman" w:hAnsi="Times New Roman"/>
        </w:rPr>
        <w:t>et cum eo tan ressidentibus qua</w:t>
      </w:r>
      <w:r>
        <w:rPr>
          <w:rFonts w:ascii="Times New Roman" w:hAnsi="Times New Roman"/>
        </w:rPr>
        <w:t>que adstantibus ful</w:t>
      </w:r>
      <w:r w:rsidR="00F4089F">
        <w:rPr>
          <w:rFonts w:ascii="Times New Roman" w:hAnsi="Times New Roman"/>
        </w:rPr>
        <w:t>idaque nobilitatis pollentibus v</w:t>
      </w:r>
      <w:r>
        <w:rPr>
          <w:rFonts w:ascii="Times New Roman" w:hAnsi="Times New Roman"/>
        </w:rPr>
        <w:t>iris bone hopinionis et laudabilis famam, corum nomina hec inferius plura notantur, inter quod etiam, id est Noctecherius episcopus sancte Leodecensis ecclessie, Guithoral episcopus sancte Marie ecclessie, Albertus episcopus sancte Brisiensis ecclessie, Hubertus episcopus sancte Uero[ensis ec]clesie, Hubertus episcopus sancte Ariminensis ecclesie, Atto episcopus sancte Segalensis ecclesie, Trasonem episcopus sancte Anthonitane</w:t>
      </w:r>
      <w:r>
        <w:rPr>
          <w:rStyle w:val="Refdenotaalfinal"/>
        </w:rPr>
        <w:endnoteReference w:customMarkFollows="1" w:id="5"/>
        <w:t>c</w:t>
      </w:r>
      <w:r>
        <w:rPr>
          <w:rFonts w:ascii="Times New Roman" w:hAnsi="Times New Roman"/>
        </w:rPr>
        <w:t xml:space="preserve"> ecclesie, Leopardus episcopus sancte Ausemane ecclesie, Iohannes episcopus sancte Humane ecclesie, Napchard</w:t>
      </w:r>
      <w:r w:rsidR="009D3E4D">
        <w:rPr>
          <w:rFonts w:ascii="Times New Roman" w:hAnsi="Times New Roman"/>
        </w:rPr>
        <w:t>us dux, Raimbaldus comes de Triv</w:t>
      </w:r>
      <w:r>
        <w:rPr>
          <w:rFonts w:ascii="Times New Roman" w:hAnsi="Times New Roman"/>
        </w:rPr>
        <w:t>ise, Martinus abbas monasteri</w:t>
      </w:r>
      <w:r w:rsidR="00D55D45">
        <w:rPr>
          <w:rFonts w:ascii="Times New Roman" w:hAnsi="Times New Roman"/>
        </w:rPr>
        <w:t>i sancti Iohannis apostoli et ev</w:t>
      </w:r>
      <w:r>
        <w:rPr>
          <w:rFonts w:ascii="Times New Roman" w:hAnsi="Times New Roman"/>
        </w:rPr>
        <w:t>angeliste, Arder</w:t>
      </w:r>
      <w:r w:rsidR="00321FCC">
        <w:rPr>
          <w:rFonts w:ascii="Times New Roman" w:hAnsi="Times New Roman"/>
        </w:rPr>
        <w:t>ato abbas monasteriis sancti Sev</w:t>
      </w:r>
      <w:r>
        <w:rPr>
          <w:rFonts w:ascii="Times New Roman" w:hAnsi="Times New Roman"/>
        </w:rPr>
        <w:t>eri, Io</w:t>
      </w:r>
      <w:r w:rsidR="003E2EDF">
        <w:rPr>
          <w:rFonts w:ascii="Times New Roman" w:hAnsi="Times New Roman"/>
        </w:rPr>
        <w:t>hannes abbas monasterii sancti V</w:t>
      </w:r>
      <w:r w:rsidR="0091662E">
        <w:rPr>
          <w:rFonts w:ascii="Times New Roman" w:hAnsi="Times New Roman"/>
        </w:rPr>
        <w:t>italis, Petrus dativ</w:t>
      </w:r>
      <w:r w:rsidR="00AA6902">
        <w:rPr>
          <w:rFonts w:ascii="Times New Roman" w:hAnsi="Times New Roman"/>
        </w:rPr>
        <w:t>us qui v</w:t>
      </w:r>
      <w:r>
        <w:rPr>
          <w:rFonts w:ascii="Times New Roman" w:hAnsi="Times New Roman"/>
        </w:rPr>
        <w:t>ocatur de porta Hatriani</w:t>
      </w:r>
      <w:r>
        <w:rPr>
          <w:rStyle w:val="Refdenotaalfinal"/>
        </w:rPr>
        <w:endnoteReference w:customMarkFollows="1" w:id="6"/>
        <w:t>d</w:t>
      </w:r>
      <w:r w:rsidR="000B0758">
        <w:rPr>
          <w:rFonts w:ascii="Times New Roman" w:hAnsi="Times New Roman"/>
        </w:rPr>
        <w:t>, Iohannes dativ</w:t>
      </w:r>
      <w:r>
        <w:rPr>
          <w:rFonts w:ascii="Times New Roman" w:hAnsi="Times New Roman"/>
        </w:rPr>
        <w:t>us filius quondam Iohannis Pater tivitatis</w:t>
      </w:r>
      <w:r>
        <w:rPr>
          <w:rStyle w:val="Refdenotaalfinal"/>
        </w:rPr>
        <w:endnoteReference w:customMarkFollows="1" w:id="7"/>
        <w:t>e</w:t>
      </w:r>
      <w:r w:rsidR="00D07309">
        <w:rPr>
          <w:rFonts w:ascii="Times New Roman" w:hAnsi="Times New Roman"/>
        </w:rPr>
        <w:t>, Andreas dativ</w:t>
      </w:r>
      <w:r w:rsidR="00CD3BA5">
        <w:rPr>
          <w:rFonts w:ascii="Times New Roman" w:hAnsi="Times New Roman"/>
        </w:rPr>
        <w:t>us qui v</w:t>
      </w:r>
      <w:r>
        <w:rPr>
          <w:rFonts w:ascii="Times New Roman" w:hAnsi="Times New Roman"/>
        </w:rPr>
        <w:t>ocat</w:t>
      </w:r>
      <w:r w:rsidR="0045415E">
        <w:rPr>
          <w:rFonts w:ascii="Times New Roman" w:hAnsi="Times New Roman"/>
        </w:rPr>
        <w:t>ur Hutilis et alio Andreas dativ</w:t>
      </w:r>
      <w:r w:rsidR="00A51D07">
        <w:rPr>
          <w:rFonts w:ascii="Times New Roman" w:hAnsi="Times New Roman"/>
        </w:rPr>
        <w:t>us qui v</w:t>
      </w:r>
      <w:r w:rsidR="00200F0D">
        <w:rPr>
          <w:rFonts w:ascii="Times New Roman" w:hAnsi="Times New Roman"/>
        </w:rPr>
        <w:t>ocatur de Sev</w:t>
      </w:r>
      <w:r w:rsidR="004A256E">
        <w:rPr>
          <w:rFonts w:ascii="Times New Roman" w:hAnsi="Times New Roman"/>
        </w:rPr>
        <w:t>ero, Iohannes dativus qui v</w:t>
      </w:r>
      <w:r>
        <w:rPr>
          <w:rFonts w:ascii="Times New Roman" w:hAnsi="Times New Roman"/>
        </w:rPr>
        <w:t>ocatur Caltia</w:t>
      </w:r>
      <w:r w:rsidR="00B16EAF">
        <w:rPr>
          <w:rFonts w:ascii="Times New Roman" w:hAnsi="Times New Roman"/>
        </w:rPr>
        <w:t>pelle, hec sunt iudicibus de civitate Rav</w:t>
      </w:r>
      <w:r w:rsidR="00AB6B59">
        <w:rPr>
          <w:rFonts w:ascii="Times New Roman" w:hAnsi="Times New Roman"/>
        </w:rPr>
        <w:t>enna; Antoninus dativ</w:t>
      </w:r>
      <w:r>
        <w:rPr>
          <w:rFonts w:ascii="Times New Roman" w:hAnsi="Times New Roman"/>
        </w:rPr>
        <w:t>us de Papia, Iohannes et Demetrius iudicibus de Ferariense, Le</w:t>
      </w:r>
      <w:r w:rsidR="00A310D4">
        <w:rPr>
          <w:rFonts w:ascii="Times New Roman" w:hAnsi="Times New Roman"/>
        </w:rPr>
        <w:t>cto et Rodulfus iudicibus de civ</w:t>
      </w:r>
      <w:r w:rsidR="008931D8">
        <w:rPr>
          <w:rFonts w:ascii="Times New Roman" w:hAnsi="Times New Roman"/>
        </w:rPr>
        <w:t>itate Ancona, Andreas dativ</w:t>
      </w:r>
      <w:r w:rsidR="00DB40C8">
        <w:rPr>
          <w:rFonts w:ascii="Times New Roman" w:hAnsi="Times New Roman"/>
        </w:rPr>
        <w:t>us de civ</w:t>
      </w:r>
      <w:r>
        <w:rPr>
          <w:rFonts w:ascii="Times New Roman" w:hAnsi="Times New Roman"/>
        </w:rPr>
        <w:t>itate Esina, et Grimacaldus iudice de comitato Camarino, Teudebaldus comes, Gozo comes et Ugo germano suo, Gozo filio Ranconi, Albericus filio Antoni et alio Albericus de comitato Ausemano, hec sunt comitibus et omminibus</w:t>
      </w:r>
      <w:r w:rsidR="00022FD8">
        <w:rPr>
          <w:rFonts w:ascii="Times New Roman" w:hAnsi="Times New Roman"/>
        </w:rPr>
        <w:t xml:space="preserve"> de Romania; Iohannes dux de civ</w:t>
      </w:r>
      <w:r w:rsidR="00B14FC4">
        <w:rPr>
          <w:rFonts w:ascii="Times New Roman" w:hAnsi="Times New Roman"/>
        </w:rPr>
        <w:t>itate Rav</w:t>
      </w:r>
      <w:r>
        <w:rPr>
          <w:rFonts w:ascii="Times New Roman" w:hAnsi="Times New Roman"/>
        </w:rPr>
        <w:t>enna, Paulus de Hecel; Petrus germani, Gariardus quondam filius Faurnaldi, Berardus de Ati</w:t>
      </w:r>
      <w:r w:rsidR="00CE295D">
        <w:rPr>
          <w:rFonts w:ascii="Times New Roman" w:hAnsi="Times New Roman"/>
        </w:rPr>
        <w:t>o de Imilla, Petrus consul qui v</w:t>
      </w:r>
      <w:r>
        <w:rPr>
          <w:rFonts w:ascii="Times New Roman" w:hAnsi="Times New Roman"/>
        </w:rPr>
        <w:t>ocatur de Crietiduli, Stefanus tabellio, Teutio tabellio, Petrus tabellio, Lazarius tabellio, Bernardus cancellario, Iohannes c</w:t>
      </w:r>
      <w:r w:rsidR="00476A52">
        <w:rPr>
          <w:rFonts w:ascii="Times New Roman" w:hAnsi="Times New Roman"/>
        </w:rPr>
        <w:t>ancellario, istis omnibus de civ</w:t>
      </w:r>
      <w:r w:rsidR="00C53A25">
        <w:rPr>
          <w:rFonts w:ascii="Times New Roman" w:hAnsi="Times New Roman"/>
        </w:rPr>
        <w:t>itate Rav</w:t>
      </w:r>
      <w:r>
        <w:rPr>
          <w:rFonts w:ascii="Times New Roman" w:hAnsi="Times New Roman"/>
        </w:rPr>
        <w:t>enna; Tea</w:t>
      </w:r>
      <w:r w:rsidR="000A44EC">
        <w:rPr>
          <w:rFonts w:ascii="Times New Roman" w:hAnsi="Times New Roman"/>
        </w:rPr>
        <w:t>silus et Stefanus germani de civ</w:t>
      </w:r>
      <w:r>
        <w:rPr>
          <w:rFonts w:ascii="Times New Roman" w:hAnsi="Times New Roman"/>
        </w:rPr>
        <w:t>itate Ancona; Adamo filio quondam Teuzio et Adelbertus filius quondam Traseus, Gu</w:t>
      </w:r>
      <w:r w:rsidR="00567DD9">
        <w:rPr>
          <w:rFonts w:ascii="Times New Roman" w:hAnsi="Times New Roman"/>
        </w:rPr>
        <w:t>imrimberto, istius civ</w:t>
      </w:r>
      <w:r>
        <w:rPr>
          <w:rFonts w:ascii="Times New Roman" w:hAnsi="Times New Roman"/>
        </w:rPr>
        <w:t>itatis Ancona; Atto filio quondam Lupani, Atio filio quondam Holdericus, Lecto et Berardo et Petrus germani filii Eriberto et me presente [A]ldo</w:t>
      </w:r>
      <w:r>
        <w:rPr>
          <w:rStyle w:val="Refdenotaalfinal"/>
        </w:rPr>
        <w:endnoteReference w:customMarkFollows="1" w:id="8"/>
        <w:t>f</w:t>
      </w:r>
      <w:r w:rsidR="00B379CB">
        <w:rPr>
          <w:rFonts w:ascii="Times New Roman" w:hAnsi="Times New Roman"/>
        </w:rPr>
        <w:t xml:space="preserve"> tabellio de civ</w:t>
      </w:r>
      <w:r w:rsidR="00B540C3">
        <w:rPr>
          <w:rFonts w:ascii="Times New Roman" w:hAnsi="Times New Roman"/>
        </w:rPr>
        <w:t>itate Rav</w:t>
      </w:r>
      <w:r>
        <w:rPr>
          <w:rFonts w:ascii="Times New Roman" w:hAnsi="Times New Roman"/>
        </w:rPr>
        <w:t>enna, et aliis omnibus de comitato Arentino, Raynerius comes filio Guidoni, Hugo de Florentia, Etio filio Tatoni, Petrus de Lontiniano, et aliis ceteris, qui longum est ad scribendum. In eorum suprascriptorum omnium presentia reclamatus Bonizo presbiter [et] monachus at</w:t>
      </w:r>
      <w:r w:rsidR="007417EA">
        <w:rPr>
          <w:rFonts w:ascii="Times New Roman" w:hAnsi="Times New Roman"/>
        </w:rPr>
        <w:t>que abbas monasterii sanctarum v</w:t>
      </w:r>
      <w:r>
        <w:rPr>
          <w:rFonts w:ascii="Times New Roman" w:hAnsi="Times New Roman"/>
        </w:rPr>
        <w:t>irginum Flore et Lucille et monasterii sancti Andrei apostoli</w:t>
      </w:r>
      <w:r>
        <w:rPr>
          <w:rStyle w:val="Refdenotaalfinal"/>
        </w:rPr>
        <w:endnoteReference w:id="9"/>
      </w:r>
      <w:r>
        <w:rPr>
          <w:rFonts w:ascii="Times New Roman" w:hAnsi="Times New Roman"/>
        </w:rPr>
        <w:t>, qui est in comitato Arentino, supra Adelbertus marchio et Alberto germani filii quondam Holberti</w:t>
      </w:r>
      <w:r>
        <w:rPr>
          <w:rStyle w:val="Refdenotaalfinal"/>
        </w:rPr>
        <w:endnoteReference w:id="10"/>
      </w:r>
      <w:r w:rsidR="00937C8C">
        <w:rPr>
          <w:rFonts w:ascii="Times New Roman" w:hAnsi="Times New Roman"/>
        </w:rPr>
        <w:t xml:space="preserve"> et supra Ev</w:t>
      </w:r>
      <w:r>
        <w:rPr>
          <w:rFonts w:ascii="Times New Roman" w:hAnsi="Times New Roman"/>
        </w:rPr>
        <w:t xml:space="preserve">erardo filio </w:t>
      </w:r>
      <w:r>
        <w:rPr>
          <w:rFonts w:ascii="Times New Roman" w:hAnsi="Times New Roman"/>
        </w:rPr>
        <w:lastRenderedPageBreak/>
        <w:t>quondam Gualcheri</w:t>
      </w:r>
      <w:r>
        <w:rPr>
          <w:rStyle w:val="Refdenotaalfinal"/>
        </w:rPr>
        <w:endnoteReference w:id="11"/>
      </w:r>
      <w:r w:rsidR="0048532C">
        <w:rPr>
          <w:rFonts w:ascii="Times New Roman" w:hAnsi="Times New Roman"/>
        </w:rPr>
        <w:t xml:space="preserve"> per semel et bis et terziam v</w:t>
      </w:r>
      <w:r>
        <w:rPr>
          <w:rFonts w:ascii="Times New Roman" w:hAnsi="Times New Roman"/>
        </w:rPr>
        <w:t xml:space="preserve">icem de res quondam Hugoni rex in ipsi monasterii pro remedium anime sue </w:t>
      </w:r>
      <w:r w:rsidR="0048532C">
        <w:rPr>
          <w:rFonts w:ascii="Times New Roman" w:hAnsi="Times New Roman"/>
        </w:rPr>
        <w:t>per cartulam</w:t>
      </w:r>
      <w:r w:rsidR="00EE6134">
        <w:rPr>
          <w:rStyle w:val="Refdenotaalfinal"/>
          <w:rFonts w:ascii="Times New Roman" w:hAnsi="Times New Roman"/>
        </w:rPr>
        <w:endnoteReference w:customMarkFollows="1" w:id="12"/>
        <w:t>g</w:t>
      </w:r>
      <w:r w:rsidR="0048532C">
        <w:rPr>
          <w:rFonts w:ascii="Times New Roman" w:hAnsi="Times New Roman"/>
        </w:rPr>
        <w:t xml:space="preserve"> precepti constituis</w:t>
      </w:r>
      <w:r w:rsidR="00FB1C94">
        <w:rPr>
          <w:rStyle w:val="Refdenotaalfinal"/>
          <w:rFonts w:ascii="Times New Roman" w:hAnsi="Times New Roman"/>
        </w:rPr>
        <w:endnoteReference w:customMarkFollows="1" w:id="13"/>
        <w:t>h</w:t>
      </w:r>
      <w:r w:rsidR="00B31F46">
        <w:rPr>
          <w:rFonts w:ascii="Times New Roman" w:hAnsi="Times New Roman"/>
        </w:rPr>
        <w:t xml:space="preserve"> et illim</w:t>
      </w:r>
      <w:r w:rsidR="00FB1C94">
        <w:rPr>
          <w:rStyle w:val="Refdenotaalfinal"/>
          <w:rFonts w:ascii="Times New Roman" w:hAnsi="Times New Roman"/>
        </w:rPr>
        <w:endnoteReference w:customMarkFollows="1" w:id="14"/>
        <w:t>i</w:t>
      </w:r>
      <w:r w:rsidR="00B31F46">
        <w:rPr>
          <w:rFonts w:ascii="Times New Roman" w:hAnsi="Times New Roman"/>
        </w:rPr>
        <w:t xml:space="preserve"> per v</w:t>
      </w:r>
      <w:r>
        <w:rPr>
          <w:rFonts w:ascii="Times New Roman" w:hAnsi="Times New Roman"/>
        </w:rPr>
        <w:t>im ab ipsi monasterii contendunt. Mox domnus Hotto rex talia r</w:t>
      </w:r>
      <w:r w:rsidR="0043057F">
        <w:rPr>
          <w:rFonts w:ascii="Times New Roman" w:hAnsi="Times New Roman"/>
        </w:rPr>
        <w:t>eclamatione audientes interrogav</w:t>
      </w:r>
      <w:r>
        <w:rPr>
          <w:rFonts w:ascii="Times New Roman" w:hAnsi="Times New Roman"/>
        </w:rPr>
        <w:t>it ipsis iudicibus, quid de oc causam legem iubet. Tunc iudicibus dicxerunt: “Lex est ut e</w:t>
      </w:r>
      <w:r w:rsidR="00C004BA">
        <w:rPr>
          <w:rFonts w:ascii="Times New Roman" w:hAnsi="Times New Roman"/>
        </w:rPr>
        <w:t>os suprascripto abbas exinde inv</w:t>
      </w:r>
      <w:r w:rsidR="00ED7A01">
        <w:rPr>
          <w:rFonts w:ascii="Times New Roman" w:hAnsi="Times New Roman"/>
        </w:rPr>
        <w:t>estiatur salv</w:t>
      </w:r>
      <w:r>
        <w:rPr>
          <w:rFonts w:ascii="Times New Roman" w:hAnsi="Times New Roman"/>
        </w:rPr>
        <w:t>a querela”. Mox domnus rex talia haudientes, quod ipsis iudicibus dicx</w:t>
      </w:r>
      <w:r w:rsidR="007A3784">
        <w:rPr>
          <w:rFonts w:ascii="Times New Roman" w:hAnsi="Times New Roman"/>
        </w:rPr>
        <w:t>erunt, v</w:t>
      </w:r>
      <w:r>
        <w:rPr>
          <w:rFonts w:ascii="Times New Roman" w:hAnsi="Times New Roman"/>
        </w:rPr>
        <w:t>irgam quam in suis detinebat manibus, dimisit in manum p</w:t>
      </w:r>
      <w:r w:rsidR="00B35765">
        <w:rPr>
          <w:rFonts w:ascii="Times New Roman" w:hAnsi="Times New Roman"/>
        </w:rPr>
        <w:t>redictum abbatem, exinde eum inv</w:t>
      </w:r>
      <w:r w:rsidR="003A6DDE">
        <w:rPr>
          <w:rFonts w:ascii="Times New Roman" w:hAnsi="Times New Roman"/>
        </w:rPr>
        <w:t>estiv</w:t>
      </w:r>
      <w:r w:rsidR="00371FF3">
        <w:rPr>
          <w:rFonts w:ascii="Times New Roman" w:hAnsi="Times New Roman"/>
        </w:rPr>
        <w:t>it salv</w:t>
      </w:r>
      <w:r>
        <w:rPr>
          <w:rFonts w:ascii="Times New Roman" w:hAnsi="Times New Roman"/>
        </w:rPr>
        <w:t>a querela; et statim ora misit bandum supra caput denominati abb</w:t>
      </w:r>
      <w:r w:rsidR="000207F7">
        <w:rPr>
          <w:rFonts w:ascii="Times New Roman" w:hAnsi="Times New Roman"/>
        </w:rPr>
        <w:t>atis et supra ipsas res, ut nuli</w:t>
      </w:r>
      <w:r>
        <w:rPr>
          <w:rFonts w:ascii="Times New Roman" w:hAnsi="Times New Roman"/>
        </w:rPr>
        <w:t>us</w:t>
      </w:r>
      <w:r w:rsidR="000207F7">
        <w:rPr>
          <w:rStyle w:val="Refdenotaalfinal"/>
          <w:rFonts w:ascii="Times New Roman" w:hAnsi="Times New Roman"/>
        </w:rPr>
        <w:endnoteReference w:customMarkFollows="1" w:id="15"/>
        <w:t>j</w:t>
      </w:r>
      <w:r w:rsidR="00AB69A5">
        <w:rPr>
          <w:rFonts w:ascii="Times New Roman" w:hAnsi="Times New Roman"/>
        </w:rPr>
        <w:t xml:space="preserve"> sit ausus eum disv</w:t>
      </w:r>
      <w:r>
        <w:rPr>
          <w:rFonts w:ascii="Times New Roman" w:hAnsi="Times New Roman"/>
        </w:rPr>
        <w:t>estire sine legali iuditio; et qui hoc facere presumserit, siad se composituro auro omptimi mancosos mille, medietatem cammare nostre regalis et medietatem abeat tu suprascripto abbas t</w:t>
      </w:r>
      <w:r w:rsidR="003E12DF">
        <w:rPr>
          <w:rFonts w:ascii="Times New Roman" w:hAnsi="Times New Roman"/>
        </w:rPr>
        <w:t>uisque successoribus, et anc inv</w:t>
      </w:r>
      <w:r>
        <w:rPr>
          <w:rFonts w:ascii="Times New Roman" w:hAnsi="Times New Roman"/>
        </w:rPr>
        <w:t>esticione in rata permandead firma. Hoc factum est sub die et mense et indictione suprascripta nona.</w:t>
      </w:r>
    </w:p>
    <w:p w14:paraId="214393D6" w14:textId="32447994" w:rsidR="000246BE" w:rsidRDefault="000246BE" w:rsidP="000246BE">
      <w:pPr>
        <w:jc w:val="both"/>
        <w:rPr>
          <w:rFonts w:ascii="Times New Roman" w:hAnsi="Times New Roman"/>
        </w:rPr>
      </w:pPr>
      <w:r>
        <w:rPr>
          <w:rFonts w:ascii="Times New Roman" w:hAnsi="Times New Roman"/>
        </w:rPr>
        <w:t>Ego Notkerus sancte Leodice</w:t>
      </w:r>
      <w:r w:rsidR="00193EFB">
        <w:rPr>
          <w:rFonts w:ascii="Times New Roman" w:hAnsi="Times New Roman"/>
        </w:rPr>
        <w:t>nsis ecclesie episcopus in hac v</w:t>
      </w:r>
      <w:r>
        <w:rPr>
          <w:rFonts w:ascii="Times New Roman" w:hAnsi="Times New Roman"/>
        </w:rPr>
        <w:t>estitura</w:t>
      </w:r>
      <w:r w:rsidR="00923421">
        <w:rPr>
          <w:rStyle w:val="Refdenotaalfinal"/>
          <w:rFonts w:ascii="Times New Roman" w:hAnsi="Times New Roman"/>
        </w:rPr>
        <w:endnoteReference w:customMarkFollows="1" w:id="16"/>
        <w:t>k</w:t>
      </w:r>
      <w:r>
        <w:rPr>
          <w:rFonts w:ascii="Times New Roman" w:hAnsi="Times New Roman"/>
        </w:rPr>
        <w:t xml:space="preserve"> subscripsi.</w:t>
      </w:r>
    </w:p>
    <w:p w14:paraId="388B2D58" w14:textId="4E6A9B99" w:rsidR="000246BE" w:rsidRDefault="000246BE" w:rsidP="000246BE">
      <w:pPr>
        <w:jc w:val="both"/>
        <w:rPr>
          <w:rFonts w:ascii="Times New Roman" w:hAnsi="Times New Roman"/>
        </w:rPr>
      </w:pPr>
      <w:r>
        <w:rPr>
          <w:rFonts w:ascii="Times New Roman" w:hAnsi="Times New Roman"/>
        </w:rPr>
        <w:t>+ Ego Guitdroaldus sancte M</w:t>
      </w:r>
      <w:r w:rsidR="00C1231E">
        <w:rPr>
          <w:rFonts w:ascii="Times New Roman" w:hAnsi="Times New Roman"/>
        </w:rPr>
        <w:t>arie ecclesie episcopus in hac v</w:t>
      </w:r>
      <w:r>
        <w:rPr>
          <w:rFonts w:ascii="Times New Roman" w:hAnsi="Times New Roman"/>
        </w:rPr>
        <w:t>estitura subscripsi.</w:t>
      </w:r>
    </w:p>
    <w:p w14:paraId="4E575013" w14:textId="77777777" w:rsidR="000246BE" w:rsidRDefault="000246BE" w:rsidP="000246BE">
      <w:pPr>
        <w:jc w:val="both"/>
        <w:rPr>
          <w:rFonts w:ascii="Times New Roman" w:hAnsi="Times New Roman"/>
        </w:rPr>
      </w:pPr>
      <w:r>
        <w:rPr>
          <w:rFonts w:ascii="Times New Roman" w:hAnsi="Times New Roman"/>
        </w:rPr>
        <w:t>+ Ego Adelbertus sancte Briscensis ecclesie episcopus subscripsi.</w:t>
      </w:r>
    </w:p>
    <w:p w14:paraId="06A7D135" w14:textId="77777777" w:rsidR="000246BE" w:rsidRDefault="000246BE" w:rsidP="000246BE">
      <w:pPr>
        <w:jc w:val="both"/>
        <w:rPr>
          <w:rFonts w:ascii="Times New Roman" w:hAnsi="Times New Roman"/>
        </w:rPr>
      </w:pPr>
      <w:r>
        <w:rPr>
          <w:rFonts w:ascii="Times New Roman" w:hAnsi="Times New Roman"/>
        </w:rPr>
        <w:t>(S) Andreas iudice interfuit et subscripsit.</w:t>
      </w:r>
    </w:p>
    <w:p w14:paraId="6F118BBC" w14:textId="24124CF2" w:rsidR="000246BE" w:rsidRDefault="0026642D" w:rsidP="000246BE">
      <w:pPr>
        <w:jc w:val="both"/>
        <w:rPr>
          <w:rFonts w:ascii="Times New Roman" w:hAnsi="Times New Roman"/>
        </w:rPr>
      </w:pPr>
      <w:r>
        <w:rPr>
          <w:rFonts w:ascii="Times New Roman" w:hAnsi="Times New Roman"/>
        </w:rPr>
        <w:t>+ Iohannes dativ</w:t>
      </w:r>
      <w:r w:rsidR="008C4E5B">
        <w:rPr>
          <w:rFonts w:ascii="Times New Roman" w:hAnsi="Times New Roman"/>
        </w:rPr>
        <w:t>us qui v</w:t>
      </w:r>
      <w:r w:rsidR="000246BE">
        <w:rPr>
          <w:rFonts w:ascii="Times New Roman" w:hAnsi="Times New Roman"/>
        </w:rPr>
        <w:t>ocatur Calciapelle interfui et subscripsi.</w:t>
      </w:r>
    </w:p>
    <w:p w14:paraId="0F2A8EF4" w14:textId="1A975B38" w:rsidR="000246BE" w:rsidRDefault="00F77267" w:rsidP="000246BE">
      <w:pPr>
        <w:jc w:val="both"/>
        <w:rPr>
          <w:rFonts w:ascii="Times New Roman" w:hAnsi="Times New Roman"/>
        </w:rPr>
      </w:pPr>
      <w:r>
        <w:rPr>
          <w:rFonts w:ascii="Times New Roman" w:hAnsi="Times New Roman"/>
        </w:rPr>
        <w:t>+ Iohannes dativ</w:t>
      </w:r>
      <w:r w:rsidR="000246BE">
        <w:rPr>
          <w:rFonts w:ascii="Times New Roman" w:hAnsi="Times New Roman"/>
        </w:rPr>
        <w:t>us Ferarensis interfuit et subscripsit.</w:t>
      </w:r>
    </w:p>
    <w:p w14:paraId="6EBAF098" w14:textId="208782EC" w:rsidR="000246BE" w:rsidRDefault="000246BE" w:rsidP="000246BE">
      <w:pPr>
        <w:jc w:val="both"/>
        <w:rPr>
          <w:rFonts w:ascii="Times New Roman" w:hAnsi="Times New Roman"/>
        </w:rPr>
      </w:pPr>
      <w:r>
        <w:rPr>
          <w:rFonts w:ascii="Times New Roman" w:hAnsi="Times New Roman"/>
        </w:rPr>
        <w:t xml:space="preserve"> (S) Aldo Christi misericordia</w:t>
      </w:r>
      <w:r w:rsidR="00923421">
        <w:rPr>
          <w:rStyle w:val="Refdenotaalfinal"/>
          <w:rFonts w:ascii="Times New Roman" w:hAnsi="Times New Roman"/>
        </w:rPr>
        <w:endnoteReference w:customMarkFollows="1" w:id="17"/>
        <w:t>l</w:t>
      </w:r>
      <w:r w:rsidR="0046266C">
        <w:rPr>
          <w:rFonts w:ascii="Times New Roman" w:hAnsi="Times New Roman"/>
        </w:rPr>
        <w:t xml:space="preserve"> tabellio de civitate Rav</w:t>
      </w:r>
      <w:r w:rsidR="00066AA1">
        <w:rPr>
          <w:rFonts w:ascii="Times New Roman" w:hAnsi="Times New Roman"/>
        </w:rPr>
        <w:t>enna scriptor hunc brev</w:t>
      </w:r>
      <w:r w:rsidR="000F72A3">
        <w:rPr>
          <w:rFonts w:ascii="Times New Roman" w:hAnsi="Times New Roman"/>
        </w:rPr>
        <w:t>e inv</w:t>
      </w:r>
      <w:r>
        <w:rPr>
          <w:rFonts w:ascii="Times New Roman" w:hAnsi="Times New Roman"/>
        </w:rPr>
        <w:t>estitione et inbandicione sicut super legitur post robora</w:t>
      </w:r>
      <w:r w:rsidR="00F350A1">
        <w:rPr>
          <w:rFonts w:ascii="Times New Roman" w:hAnsi="Times New Roman"/>
        </w:rPr>
        <w:t>tione testium compleui ac absolv</w:t>
      </w:r>
      <w:r>
        <w:rPr>
          <w:rFonts w:ascii="Times New Roman" w:hAnsi="Times New Roman"/>
        </w:rPr>
        <w:t>i.</w:t>
      </w:r>
    </w:p>
    <w:p w14:paraId="0668AAC3" w14:textId="77777777"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0C0CF3" w14:textId="77777777" w:rsidR="0048532C" w:rsidRDefault="0048532C" w:rsidP="000246BE">
      <w:r>
        <w:separator/>
      </w:r>
    </w:p>
  </w:endnote>
  <w:endnote w:type="continuationSeparator" w:id="0">
    <w:p w14:paraId="390A3473" w14:textId="77777777" w:rsidR="0048532C" w:rsidRDefault="0048532C" w:rsidP="000246BE">
      <w:r>
        <w:continuationSeparator/>
      </w:r>
    </w:p>
  </w:endnote>
  <w:endnote w:id="1">
    <w:p w14:paraId="67F38FAB" w14:textId="0B0E3989" w:rsidR="0048532C" w:rsidRPr="00937C8C" w:rsidRDefault="0048532C">
      <w:pPr>
        <w:pStyle w:val="Textonotaalfinal"/>
        <w:rPr>
          <w:lang w:val="es-ES_tradnl"/>
        </w:rPr>
      </w:pPr>
      <w:r>
        <w:rPr>
          <w:rStyle w:val="Refdenotaalfinal"/>
        </w:rPr>
        <w:endnoteRef/>
      </w:r>
      <w:r>
        <w:t xml:space="preserve"> </w:t>
      </w:r>
      <w:r w:rsidR="00CC3675">
        <w:t>Delumeau</w:t>
      </w:r>
      <w:r w:rsidR="00355FD7">
        <w:t xml:space="preserve"> 1996, pp. 641-643 e</w:t>
      </w:r>
      <w:r w:rsidR="00CC3675">
        <w:t xml:space="preserve"> 2003, p. 153.</w:t>
      </w:r>
    </w:p>
  </w:endnote>
  <w:endnote w:id="2">
    <w:p w14:paraId="4B59BDCC" w14:textId="6EE6FAA4" w:rsidR="0048532C" w:rsidRDefault="0048532C" w:rsidP="00030941">
      <w:pPr>
        <w:pStyle w:val="Textonotaalfinal"/>
      </w:pPr>
      <w:r>
        <w:rPr>
          <w:rStyle w:val="Refdenotaalfinal"/>
        </w:rPr>
        <w:t>*</w:t>
      </w:r>
      <w:r>
        <w:t xml:space="preserve"> La revisione della trascrizione è stata condotta sulla base del confronto </w:t>
      </w:r>
      <w:r w:rsidR="002E3230">
        <w:t>con</w:t>
      </w:r>
      <w:r w:rsidR="0085779C">
        <w:t xml:space="preserve"> la</w:t>
      </w:r>
      <w:r>
        <w:t xml:space="preserve"> pergamena originale; per esigenze di uniformità interne al progetto, si è scelto di riportare in nota, come per le altre precedenti trascr</w:t>
      </w:r>
      <w:r w:rsidR="00422C3A">
        <w:t>izioni, le varianti di Manaresi, così come le correzioni suggerite da Volpini</w:t>
      </w:r>
      <w:r w:rsidR="008D2022">
        <w:t xml:space="preserve"> 1975</w:t>
      </w:r>
      <w:r w:rsidR="00901849">
        <w:t>, nota 91</w:t>
      </w:r>
      <w:r w:rsidR="006F14AB">
        <w:t>,</w:t>
      </w:r>
      <w:r w:rsidR="00901849">
        <w:t xml:space="preserve"> p. 271-272.</w:t>
      </w:r>
    </w:p>
  </w:endnote>
  <w:endnote w:id="3">
    <w:p w14:paraId="28536196" w14:textId="77777777" w:rsidR="0048532C" w:rsidRDefault="0048532C" w:rsidP="000246BE">
      <w:pPr>
        <w:pStyle w:val="Textonotaalfinal"/>
      </w:pPr>
      <w:r>
        <w:rPr>
          <w:rStyle w:val="Refdenotaalfinal"/>
        </w:rPr>
        <w:t>a</w:t>
      </w:r>
      <w:r>
        <w:t xml:space="preserve"> In caratteri capitali</w:t>
      </w:r>
    </w:p>
  </w:endnote>
  <w:endnote w:id="4">
    <w:p w14:paraId="21D3868B" w14:textId="77777777" w:rsidR="0048532C" w:rsidRDefault="0048532C" w:rsidP="000246BE">
      <w:pPr>
        <w:pStyle w:val="Textonotaalfinal"/>
      </w:pPr>
      <w:r>
        <w:rPr>
          <w:rStyle w:val="Refdenotaalfinal"/>
        </w:rPr>
        <w:t>b</w:t>
      </w:r>
      <w:r>
        <w:t xml:space="preserve"> In caratteri capitali</w:t>
      </w:r>
    </w:p>
  </w:endnote>
  <w:endnote w:id="5">
    <w:p w14:paraId="4ADD4E2C" w14:textId="0D532EEA" w:rsidR="0048532C" w:rsidRDefault="0048532C" w:rsidP="000246BE">
      <w:pPr>
        <w:pStyle w:val="Textonotaalfinal"/>
      </w:pPr>
      <w:r>
        <w:rPr>
          <w:rStyle w:val="Refdenotaalfinal"/>
        </w:rPr>
        <w:t>c</w:t>
      </w:r>
      <w:r>
        <w:t xml:space="preserve"> In Manaresi “Anchonitane” ma cfr. </w:t>
      </w:r>
      <w:r w:rsidR="00692BD2">
        <w:t>p. 335,</w:t>
      </w:r>
      <w:r w:rsidR="00DD6247">
        <w:t xml:space="preserve"> </w:t>
      </w:r>
      <w:r w:rsidR="00692BD2">
        <w:t xml:space="preserve">nota </w:t>
      </w:r>
      <w:r w:rsidR="00692BD2" w:rsidRPr="00692BD2">
        <w:rPr>
          <w:i/>
        </w:rPr>
        <w:t>c</w:t>
      </w:r>
      <w:r w:rsidR="00692BD2">
        <w:t>.</w:t>
      </w:r>
    </w:p>
  </w:endnote>
  <w:endnote w:id="6">
    <w:p w14:paraId="270CD95C" w14:textId="7B30BC68" w:rsidR="0048532C" w:rsidRDefault="0048532C" w:rsidP="000246BE">
      <w:pPr>
        <w:pStyle w:val="Textonotaalfinal"/>
      </w:pPr>
      <w:r>
        <w:rPr>
          <w:rStyle w:val="Refdenotaalfinal"/>
        </w:rPr>
        <w:t>d</w:t>
      </w:r>
      <w:r>
        <w:t xml:space="preserve"> In Manaresi “Latriani”. Si propone qui la lettura di Volpini 1975, p. 272, nota 91. </w:t>
      </w:r>
    </w:p>
  </w:endnote>
  <w:endnote w:id="7">
    <w:p w14:paraId="32FB5D10" w14:textId="2B074F31" w:rsidR="0048532C" w:rsidRDefault="0048532C" w:rsidP="000246BE">
      <w:pPr>
        <w:pStyle w:val="Textonotaalfinal"/>
      </w:pPr>
      <w:r>
        <w:rPr>
          <w:rStyle w:val="Refdenotaalfinal"/>
        </w:rPr>
        <w:t>e</w:t>
      </w:r>
      <w:r>
        <w:t xml:space="preserve"> In Manaresi “Paterium”. Si propone qui la lettura di Volpini 1975, p. 272, nota 91. </w:t>
      </w:r>
    </w:p>
  </w:endnote>
  <w:endnote w:id="8">
    <w:p w14:paraId="702E02F4" w14:textId="0A4C2685" w:rsidR="0048532C" w:rsidRDefault="0048532C" w:rsidP="000246BE">
      <w:pPr>
        <w:pStyle w:val="Textonotaalfinal"/>
      </w:pPr>
      <w:r>
        <w:rPr>
          <w:rStyle w:val="Refdenotaalfinal"/>
        </w:rPr>
        <w:t>f</w:t>
      </w:r>
      <w:r>
        <w:t xml:space="preserve"> In Manaresi “Andreas […] tabellio”. Si propone qui la lettura di Volpini 1975, p. 271, nota 91. </w:t>
      </w:r>
    </w:p>
  </w:endnote>
  <w:endnote w:id="9">
    <w:p w14:paraId="30344A2B" w14:textId="0F71FC7B" w:rsidR="0048532C" w:rsidRDefault="0048532C" w:rsidP="000246BE">
      <w:pPr>
        <w:pStyle w:val="Textonotaalfinal"/>
      </w:pPr>
      <w:r>
        <w:rPr>
          <w:rStyle w:val="Refdenotaalfinal"/>
        </w:rPr>
        <w:endnoteRef/>
      </w:r>
      <w:r>
        <w:t xml:space="preserve"> </w:t>
      </w:r>
      <w:r w:rsidR="0005194C">
        <w:t xml:space="preserve">Oltre a questa disputa, il monastero delle sante Fiora e Lucilla fu protagonista di altri giudizi nell’ultimo quarto del X secolo: Manaresi, II, n. 156 (967 giugno 12); Manaresi, II, n. 168 (970 novembre 3); </w:t>
      </w:r>
      <w:r w:rsidR="001E637B">
        <w:t xml:space="preserve">Pasqui n. 76 (aprile 977) e </w:t>
      </w:r>
      <w:r w:rsidR="0005194C">
        <w:t>Pasqui n. 78 (maggio 994)</w:t>
      </w:r>
      <w:r w:rsidR="001E637B">
        <w:t xml:space="preserve">. </w:t>
      </w:r>
      <w:r w:rsidR="0005194C">
        <w:rPr>
          <w:rFonts w:eastAsia="Times New Roman"/>
          <w:color w:val="141413"/>
        </w:rPr>
        <w:t>Per</w:t>
      </w:r>
      <w:r w:rsidR="0034116E">
        <w:rPr>
          <w:rFonts w:eastAsia="Times New Roman"/>
          <w:color w:val="141413"/>
        </w:rPr>
        <w:t xml:space="preserve"> la storia del monastero delle s</w:t>
      </w:r>
      <w:r w:rsidR="0005194C">
        <w:rPr>
          <w:rFonts w:eastAsia="Times New Roman"/>
          <w:color w:val="141413"/>
        </w:rPr>
        <w:t>s. Fiora e Lucilla e le liti mantenute con membri dell’élite sociale aretina Tabacco 1970, pp. 57-87</w:t>
      </w:r>
      <w:r w:rsidR="00637D85">
        <w:rPr>
          <w:rFonts w:eastAsia="Times New Roman"/>
          <w:color w:val="141413"/>
        </w:rPr>
        <w:t xml:space="preserve"> </w:t>
      </w:r>
      <w:r w:rsidR="0005194C">
        <w:rPr>
          <w:rFonts w:eastAsia="Times New Roman"/>
          <w:color w:val="141413"/>
        </w:rPr>
        <w:t>e Delumeau 1996, pp. 641 e ss.</w:t>
      </w:r>
    </w:p>
  </w:endnote>
  <w:endnote w:id="10">
    <w:p w14:paraId="610E3374" w14:textId="60E04477" w:rsidR="0048532C" w:rsidRDefault="0048532C" w:rsidP="000246BE">
      <w:pPr>
        <w:pStyle w:val="Textonotaalfinal"/>
      </w:pPr>
      <w:r>
        <w:rPr>
          <w:rStyle w:val="Refdenotaalfinal"/>
        </w:rPr>
        <w:endnoteRef/>
      </w:r>
      <w:r>
        <w:t xml:space="preserve"> </w:t>
      </w:r>
      <w:r w:rsidR="00417F01">
        <w:t>Adalberto e Oberto II</w:t>
      </w:r>
      <w:r w:rsidR="00BC32F3">
        <w:t xml:space="preserve"> figli del marchese Oberto degli Obertenghi</w:t>
      </w:r>
      <w:r w:rsidR="00B2194F">
        <w:t>, Nobili 2006b</w:t>
      </w:r>
      <w:r w:rsidR="00CE242C">
        <w:t>, p. 231, nota 8.</w:t>
      </w:r>
    </w:p>
  </w:endnote>
  <w:endnote w:id="11">
    <w:p w14:paraId="78D8CF31" w14:textId="114B31C8" w:rsidR="0048532C" w:rsidRDefault="0048532C" w:rsidP="000246BE">
      <w:pPr>
        <w:pStyle w:val="Textonotaalfinal"/>
        <w:rPr>
          <w:b/>
        </w:rPr>
      </w:pPr>
      <w:r>
        <w:rPr>
          <w:rStyle w:val="Refdenotaalfinal"/>
        </w:rPr>
        <w:endnoteRef/>
      </w:r>
      <w:r>
        <w:t xml:space="preserve"> </w:t>
      </w:r>
      <w:r w:rsidR="00025B34">
        <w:t>M</w:t>
      </w:r>
      <w:r w:rsidR="00025B34" w:rsidRPr="00CD1F69">
        <w:t xml:space="preserve">embro dell’eminente grupo familiare dei </w:t>
      </w:r>
      <w:r w:rsidR="00025B34" w:rsidRPr="00CD1F69">
        <w:rPr>
          <w:i/>
        </w:rPr>
        <w:t>Walkerii</w:t>
      </w:r>
      <w:r w:rsidR="00025B34" w:rsidRPr="00CD1F69">
        <w:t xml:space="preserve">, radicati nel Valdarno e nella Vadichiana settentrionale. </w:t>
      </w:r>
      <w:r w:rsidR="00025B34" w:rsidRPr="00951532">
        <w:t>Fin dagli ultimi decenni dell’XI secolo furo</w:t>
      </w:r>
      <w:r w:rsidR="00025B34">
        <w:t>no incaricati dell’ufficio vicecomit</w:t>
      </w:r>
      <w:r w:rsidR="00025B34" w:rsidRPr="00951532">
        <w:t>ale</w:t>
      </w:r>
      <w:r w:rsidR="00025B34">
        <w:t xml:space="preserve"> di Arezzo</w:t>
      </w:r>
      <w:r w:rsidR="00025B34" w:rsidRPr="00951532">
        <w:t>, Delumeau</w:t>
      </w:r>
      <w:r w:rsidR="00025B34" w:rsidRPr="00951532">
        <w:rPr>
          <w:rFonts w:eastAsia="Times New Roman"/>
          <w:color w:val="141413"/>
        </w:rPr>
        <w:t xml:space="preserve"> 2003, pp. 151-171. Per la sto</w:t>
      </w:r>
      <w:r w:rsidR="00025B34">
        <w:rPr>
          <w:rFonts w:eastAsia="Times New Roman"/>
          <w:color w:val="141413"/>
        </w:rPr>
        <w:t>ria del monastero delle Sante Fi</w:t>
      </w:r>
      <w:r w:rsidR="00025B34" w:rsidRPr="00951532">
        <w:rPr>
          <w:rFonts w:eastAsia="Times New Roman"/>
          <w:color w:val="141413"/>
        </w:rPr>
        <w:t xml:space="preserve">ora e Lucilla e le liti tra questo e la famiglia </w:t>
      </w:r>
      <w:r w:rsidR="00025B34" w:rsidRPr="00951532">
        <w:t xml:space="preserve">dei </w:t>
      </w:r>
      <w:r w:rsidR="00025B34" w:rsidRPr="00951532">
        <w:rPr>
          <w:i/>
        </w:rPr>
        <w:t>Walcherii</w:t>
      </w:r>
      <w:r w:rsidR="00226740">
        <w:t>,</w:t>
      </w:r>
      <w:r w:rsidR="00025B34" w:rsidRPr="00951532">
        <w:t xml:space="preserve"> </w:t>
      </w:r>
      <w:r w:rsidR="00025B34" w:rsidRPr="00951532">
        <w:rPr>
          <w:rFonts w:eastAsia="Times New Roman"/>
          <w:color w:val="141413"/>
        </w:rPr>
        <w:t>Tabacco 1970, pp. 69 e ss. e Delumeau 1996, pp. 641 e ss</w:t>
      </w:r>
      <w:r w:rsidR="00BF17EA">
        <w:rPr>
          <w:rFonts w:eastAsia="Times New Roman"/>
          <w:color w:val="141413"/>
        </w:rPr>
        <w:t xml:space="preserve"> (con genealogia della famiglia in Delumeau 2006, II, pp. 1422-23)</w:t>
      </w:r>
      <w:r w:rsidR="00025B34" w:rsidRPr="00951532">
        <w:rPr>
          <w:rFonts w:eastAsia="Times New Roman"/>
          <w:color w:val="141413"/>
        </w:rPr>
        <w:t xml:space="preserve">. </w:t>
      </w:r>
      <w:r w:rsidR="00025B34" w:rsidRPr="00951532">
        <w:t>Contrasti</w:t>
      </w:r>
      <w:r w:rsidR="00025B34">
        <w:t xml:space="preserve"> che </w:t>
      </w:r>
      <w:r w:rsidR="00025B34" w:rsidRPr="00951532">
        <w:t xml:space="preserve">iniziarono con le </w:t>
      </w:r>
      <w:r w:rsidR="00025B34">
        <w:t>donazioni</w:t>
      </w:r>
      <w:r w:rsidR="00025B34" w:rsidRPr="00951532">
        <w:t xml:space="preserve"> di Ugo e Lotario in favore del monastero di </w:t>
      </w:r>
      <w:r w:rsidR="00025B34">
        <w:t xml:space="preserve">terre e </w:t>
      </w:r>
      <w:r w:rsidR="00025B34" w:rsidRPr="00951532">
        <w:t xml:space="preserve">beni posti in località situate nelle vicinanze degli interessi </w:t>
      </w:r>
      <w:r w:rsidR="00025B34">
        <w:t xml:space="preserve">patrimoniali </w:t>
      </w:r>
      <w:r w:rsidR="00025B34" w:rsidRPr="00951532">
        <w:t>della famiglia. Il conflitto sarebbe c</w:t>
      </w:r>
      <w:r w:rsidR="00270780">
        <w:t>ontinuato, tra placiti e rinunce, per</w:t>
      </w:r>
      <w:r w:rsidR="00025B34" w:rsidRPr="00951532">
        <w:t xml:space="preserve"> tutto l’XI secolo, Delumeau 1985, p. 104.</w:t>
      </w:r>
      <w:r w:rsidR="00025B34" w:rsidRPr="006C69C7">
        <w:rPr>
          <w:rFonts w:eastAsia="Times New Roman"/>
          <w:color w:val="141413"/>
        </w:rPr>
        <w:t xml:space="preserve"> </w:t>
      </w:r>
      <w:r w:rsidR="00251116">
        <w:rPr>
          <w:rFonts w:eastAsia="Times New Roman"/>
          <w:color w:val="141413"/>
        </w:rPr>
        <w:t>Questo gruppo parentale compare</w:t>
      </w:r>
      <w:r w:rsidR="00025B34" w:rsidRPr="00951532">
        <w:rPr>
          <w:rFonts w:eastAsia="Times New Roman"/>
          <w:color w:val="141413"/>
        </w:rPr>
        <w:t xml:space="preserve"> </w:t>
      </w:r>
      <w:r w:rsidR="00025B34">
        <w:rPr>
          <w:rFonts w:eastAsia="Times New Roman"/>
          <w:color w:val="141413"/>
        </w:rPr>
        <w:t>anche</w:t>
      </w:r>
      <w:r w:rsidR="00025B34" w:rsidRPr="00951532">
        <w:rPr>
          <w:rFonts w:eastAsia="Times New Roman"/>
          <w:color w:val="141413"/>
        </w:rPr>
        <w:t xml:space="preserve"> </w:t>
      </w:r>
      <w:r w:rsidR="00025B34">
        <w:rPr>
          <w:rFonts w:eastAsia="Times New Roman"/>
          <w:color w:val="141413"/>
        </w:rPr>
        <w:t>in Manaresi, II, n. 168, (970 novembre 3) e Pasqui n. 76, (aprile 977).</w:t>
      </w:r>
    </w:p>
  </w:endnote>
  <w:endnote w:id="12">
    <w:p w14:paraId="2E5BA4E8" w14:textId="3A8373CE" w:rsidR="00EE6134" w:rsidRPr="00EE6134" w:rsidRDefault="00EE6134">
      <w:pPr>
        <w:pStyle w:val="Textonotaalfinal"/>
        <w:rPr>
          <w:lang w:val="es-ES_tradnl"/>
        </w:rPr>
      </w:pPr>
      <w:r>
        <w:rPr>
          <w:rStyle w:val="Refdenotaalfinal"/>
        </w:rPr>
        <w:t>g</w:t>
      </w:r>
      <w:r>
        <w:t xml:space="preserve"> </w:t>
      </w:r>
      <w:r>
        <w:rPr>
          <w:lang w:val="es-ES_tradnl"/>
        </w:rPr>
        <w:t>Schiaparelli 1924, n. 32 (</w:t>
      </w:r>
      <w:r w:rsidR="00AB4B91">
        <w:rPr>
          <w:lang w:val="es-ES_tradnl"/>
        </w:rPr>
        <w:t xml:space="preserve">a. </w:t>
      </w:r>
      <w:r>
        <w:rPr>
          <w:lang w:val="es-ES_tradnl"/>
        </w:rPr>
        <w:t>933/936).</w:t>
      </w:r>
    </w:p>
  </w:endnote>
  <w:endnote w:id="13">
    <w:p w14:paraId="32F8BA1D" w14:textId="07FEE30B" w:rsidR="00FB1C94" w:rsidRPr="0048532C" w:rsidRDefault="00FB1C94">
      <w:pPr>
        <w:pStyle w:val="Textonotaalfinal"/>
        <w:rPr>
          <w:lang w:val="es-ES_tradnl"/>
        </w:rPr>
      </w:pPr>
      <w:r>
        <w:rPr>
          <w:rStyle w:val="Refdenotaalfinal"/>
        </w:rPr>
        <w:t>h</w:t>
      </w:r>
      <w:r>
        <w:t xml:space="preserve"> In Manaresi “constituit”, cfr. </w:t>
      </w:r>
      <w:r w:rsidR="00FC694B">
        <w:rPr>
          <w:lang w:val="es-ES_tradnl"/>
        </w:rPr>
        <w:t xml:space="preserve">p. 336, </w:t>
      </w:r>
      <w:r>
        <w:t xml:space="preserve">nota </w:t>
      </w:r>
      <w:r w:rsidRPr="00FC694B">
        <w:rPr>
          <w:i/>
        </w:rPr>
        <w:t>d</w:t>
      </w:r>
      <w:r>
        <w:t>.</w:t>
      </w:r>
    </w:p>
  </w:endnote>
  <w:endnote w:id="14">
    <w:p w14:paraId="16323135" w14:textId="6E65D63A" w:rsidR="00FB1C94" w:rsidRPr="00B31F46" w:rsidRDefault="00FB1C94">
      <w:pPr>
        <w:pStyle w:val="Textonotaalfinal"/>
        <w:rPr>
          <w:lang w:val="es-ES_tradnl"/>
        </w:rPr>
      </w:pPr>
      <w:r>
        <w:rPr>
          <w:rStyle w:val="Refdenotaalfinal"/>
        </w:rPr>
        <w:t>i</w:t>
      </w:r>
      <w:r>
        <w:t xml:space="preserve"> </w:t>
      </w:r>
      <w:r>
        <w:rPr>
          <w:lang w:val="es-ES_tradnl"/>
        </w:rPr>
        <w:t xml:space="preserve">In Manaresi “alli”, cfr. </w:t>
      </w:r>
      <w:r w:rsidR="00FC694B">
        <w:rPr>
          <w:lang w:val="es-ES_tradnl"/>
        </w:rPr>
        <w:t xml:space="preserve">p. 336, </w:t>
      </w:r>
      <w:r>
        <w:rPr>
          <w:lang w:val="es-ES_tradnl"/>
        </w:rPr>
        <w:t xml:space="preserve">nota </w:t>
      </w:r>
      <w:r w:rsidRPr="00FC694B">
        <w:rPr>
          <w:i/>
          <w:lang w:val="es-ES_tradnl"/>
        </w:rPr>
        <w:t>e</w:t>
      </w:r>
      <w:r w:rsidR="00FC694B">
        <w:rPr>
          <w:lang w:val="es-ES_tradnl"/>
        </w:rPr>
        <w:t>.</w:t>
      </w:r>
    </w:p>
  </w:endnote>
  <w:endnote w:id="15">
    <w:p w14:paraId="099D6072" w14:textId="21274398" w:rsidR="000207F7" w:rsidRPr="000207F7" w:rsidRDefault="000207F7">
      <w:pPr>
        <w:pStyle w:val="Textonotaalfinal"/>
        <w:rPr>
          <w:lang w:val="es-ES_tradnl"/>
        </w:rPr>
      </w:pPr>
      <w:r>
        <w:rPr>
          <w:rStyle w:val="Refdenotaalfinal"/>
        </w:rPr>
        <w:t>j</w:t>
      </w:r>
      <w:r>
        <w:t xml:space="preserve"> </w:t>
      </w:r>
      <w:r>
        <w:rPr>
          <w:lang w:val="es-ES_tradnl"/>
        </w:rPr>
        <w:t xml:space="preserve">In Manaresi “nullus”, cfr. </w:t>
      </w:r>
      <w:r w:rsidR="00FC694B">
        <w:rPr>
          <w:lang w:val="es-ES_tradnl"/>
        </w:rPr>
        <w:t xml:space="preserve">p. 337, </w:t>
      </w:r>
      <w:r>
        <w:rPr>
          <w:lang w:val="es-ES_tradnl"/>
        </w:rPr>
        <w:t xml:space="preserve">nota </w:t>
      </w:r>
      <w:r w:rsidRPr="00FC694B">
        <w:rPr>
          <w:i/>
          <w:lang w:val="es-ES_tradnl"/>
        </w:rPr>
        <w:t>a</w:t>
      </w:r>
      <w:r w:rsidR="00FC694B">
        <w:rPr>
          <w:lang w:val="es-ES_tradnl"/>
        </w:rPr>
        <w:t>.</w:t>
      </w:r>
    </w:p>
  </w:endnote>
  <w:endnote w:id="16">
    <w:p w14:paraId="0FAB1B56" w14:textId="733F57AA" w:rsidR="00923421" w:rsidRDefault="00923421" w:rsidP="000246BE">
      <w:pPr>
        <w:pStyle w:val="Textonotaalfinal"/>
      </w:pPr>
      <w:r>
        <w:rPr>
          <w:rStyle w:val="Refdenotaalfinal"/>
        </w:rPr>
        <w:t>k</w:t>
      </w:r>
      <w:r>
        <w:t xml:space="preserve"> In Manaresi “vestutura”.</w:t>
      </w:r>
    </w:p>
  </w:endnote>
  <w:endnote w:id="17">
    <w:p w14:paraId="21D03CF6" w14:textId="3E6DD8E8" w:rsidR="00923421" w:rsidRDefault="00923421" w:rsidP="000246BE">
      <w:pPr>
        <w:pStyle w:val="Textonotaalfinal"/>
      </w:pPr>
      <w:r>
        <w:rPr>
          <w:rStyle w:val="Refdenotaalfinal"/>
        </w:rPr>
        <w:t>l</w:t>
      </w:r>
      <w:r>
        <w:t xml:space="preserve"> In Manaresi “Aldoysi missa tabellio”. Si propone qui la lettura di Volpini 1975, p. 271, nota 91.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6BA9AB" w14:textId="77777777" w:rsidR="0048532C" w:rsidRDefault="0048532C" w:rsidP="000246BE">
      <w:r>
        <w:separator/>
      </w:r>
    </w:p>
  </w:footnote>
  <w:footnote w:type="continuationSeparator" w:id="0">
    <w:p w14:paraId="50739240" w14:textId="77777777" w:rsidR="0048532C" w:rsidRDefault="0048532C" w:rsidP="000246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6BE"/>
    <w:rsid w:val="000207F7"/>
    <w:rsid w:val="00022FD8"/>
    <w:rsid w:val="000246BE"/>
    <w:rsid w:val="00025B34"/>
    <w:rsid w:val="00030941"/>
    <w:rsid w:val="0005194C"/>
    <w:rsid w:val="00066AA1"/>
    <w:rsid w:val="0006715F"/>
    <w:rsid w:val="00084859"/>
    <w:rsid w:val="000A44EC"/>
    <w:rsid w:val="000B03B5"/>
    <w:rsid w:val="000B0758"/>
    <w:rsid w:val="000B7E80"/>
    <w:rsid w:val="000C3CA6"/>
    <w:rsid w:val="000D4311"/>
    <w:rsid w:val="000D6D3C"/>
    <w:rsid w:val="000F72A3"/>
    <w:rsid w:val="00107EF8"/>
    <w:rsid w:val="00111A61"/>
    <w:rsid w:val="0014677D"/>
    <w:rsid w:val="00153F0B"/>
    <w:rsid w:val="00163DFA"/>
    <w:rsid w:val="00193EFB"/>
    <w:rsid w:val="001C3B17"/>
    <w:rsid w:val="001E637B"/>
    <w:rsid w:val="00200F0D"/>
    <w:rsid w:val="00226740"/>
    <w:rsid w:val="00246ABD"/>
    <w:rsid w:val="00251116"/>
    <w:rsid w:val="002553D1"/>
    <w:rsid w:val="00264E34"/>
    <w:rsid w:val="0026642D"/>
    <w:rsid w:val="00270780"/>
    <w:rsid w:val="002E3230"/>
    <w:rsid w:val="00321FCC"/>
    <w:rsid w:val="00335102"/>
    <w:rsid w:val="0034116E"/>
    <w:rsid w:val="00355FD7"/>
    <w:rsid w:val="00371FF3"/>
    <w:rsid w:val="003A6DDE"/>
    <w:rsid w:val="003D54FF"/>
    <w:rsid w:val="003D7230"/>
    <w:rsid w:val="003E12DF"/>
    <w:rsid w:val="003E2EDF"/>
    <w:rsid w:val="003E5160"/>
    <w:rsid w:val="004054FE"/>
    <w:rsid w:val="00417F01"/>
    <w:rsid w:val="00422C3A"/>
    <w:rsid w:val="0043057F"/>
    <w:rsid w:val="0043276A"/>
    <w:rsid w:val="0045415E"/>
    <w:rsid w:val="00455172"/>
    <w:rsid w:val="0046266C"/>
    <w:rsid w:val="0046505C"/>
    <w:rsid w:val="00467D27"/>
    <w:rsid w:val="00476A52"/>
    <w:rsid w:val="0048413B"/>
    <w:rsid w:val="0048532C"/>
    <w:rsid w:val="004A256E"/>
    <w:rsid w:val="004C40EB"/>
    <w:rsid w:val="005057D3"/>
    <w:rsid w:val="005544D2"/>
    <w:rsid w:val="00566AC9"/>
    <w:rsid w:val="00567DD9"/>
    <w:rsid w:val="00594F33"/>
    <w:rsid w:val="005D3E36"/>
    <w:rsid w:val="005E03C6"/>
    <w:rsid w:val="00637D85"/>
    <w:rsid w:val="00672A0F"/>
    <w:rsid w:val="00692BD2"/>
    <w:rsid w:val="006F14AB"/>
    <w:rsid w:val="00715B5D"/>
    <w:rsid w:val="007417EA"/>
    <w:rsid w:val="007A3784"/>
    <w:rsid w:val="007D5DFD"/>
    <w:rsid w:val="00843D4A"/>
    <w:rsid w:val="0085779C"/>
    <w:rsid w:val="00876217"/>
    <w:rsid w:val="008931D8"/>
    <w:rsid w:val="008950BA"/>
    <w:rsid w:val="008A3B08"/>
    <w:rsid w:val="008A7AC4"/>
    <w:rsid w:val="008B0354"/>
    <w:rsid w:val="008C1E0D"/>
    <w:rsid w:val="008C4E5B"/>
    <w:rsid w:val="008D2022"/>
    <w:rsid w:val="008E3F43"/>
    <w:rsid w:val="00900DC7"/>
    <w:rsid w:val="00901849"/>
    <w:rsid w:val="0091662E"/>
    <w:rsid w:val="00923421"/>
    <w:rsid w:val="00934492"/>
    <w:rsid w:val="00937C8C"/>
    <w:rsid w:val="00940E6B"/>
    <w:rsid w:val="009678B5"/>
    <w:rsid w:val="009B4C39"/>
    <w:rsid w:val="009D3E4D"/>
    <w:rsid w:val="00A10FE2"/>
    <w:rsid w:val="00A310D4"/>
    <w:rsid w:val="00A327D7"/>
    <w:rsid w:val="00A51D07"/>
    <w:rsid w:val="00A674C0"/>
    <w:rsid w:val="00A7111F"/>
    <w:rsid w:val="00A76BC4"/>
    <w:rsid w:val="00AA0176"/>
    <w:rsid w:val="00AA6902"/>
    <w:rsid w:val="00AA71D1"/>
    <w:rsid w:val="00AB4B91"/>
    <w:rsid w:val="00AB69A5"/>
    <w:rsid w:val="00AB6B59"/>
    <w:rsid w:val="00B14FC4"/>
    <w:rsid w:val="00B16EAF"/>
    <w:rsid w:val="00B2194F"/>
    <w:rsid w:val="00B31F46"/>
    <w:rsid w:val="00B35765"/>
    <w:rsid w:val="00B379CB"/>
    <w:rsid w:val="00B540C3"/>
    <w:rsid w:val="00B66306"/>
    <w:rsid w:val="00B848D5"/>
    <w:rsid w:val="00BB0096"/>
    <w:rsid w:val="00BB1DCE"/>
    <w:rsid w:val="00BB7771"/>
    <w:rsid w:val="00BC32F3"/>
    <w:rsid w:val="00BF17EA"/>
    <w:rsid w:val="00C004BA"/>
    <w:rsid w:val="00C1231E"/>
    <w:rsid w:val="00C53A25"/>
    <w:rsid w:val="00C81E6C"/>
    <w:rsid w:val="00C939A0"/>
    <w:rsid w:val="00CB1694"/>
    <w:rsid w:val="00CC0EBE"/>
    <w:rsid w:val="00CC3675"/>
    <w:rsid w:val="00CD3BA5"/>
    <w:rsid w:val="00CE242C"/>
    <w:rsid w:val="00CE295D"/>
    <w:rsid w:val="00D013FC"/>
    <w:rsid w:val="00D01720"/>
    <w:rsid w:val="00D047CD"/>
    <w:rsid w:val="00D07309"/>
    <w:rsid w:val="00D50B40"/>
    <w:rsid w:val="00D55D45"/>
    <w:rsid w:val="00D64193"/>
    <w:rsid w:val="00DB40C8"/>
    <w:rsid w:val="00DD3BC8"/>
    <w:rsid w:val="00DD6247"/>
    <w:rsid w:val="00DF1A66"/>
    <w:rsid w:val="00EA1236"/>
    <w:rsid w:val="00EB6DE3"/>
    <w:rsid w:val="00EC2E41"/>
    <w:rsid w:val="00ED0C93"/>
    <w:rsid w:val="00ED278C"/>
    <w:rsid w:val="00ED4134"/>
    <w:rsid w:val="00ED7A01"/>
    <w:rsid w:val="00EE3AC2"/>
    <w:rsid w:val="00EE6134"/>
    <w:rsid w:val="00F1285D"/>
    <w:rsid w:val="00F249C5"/>
    <w:rsid w:val="00F350A1"/>
    <w:rsid w:val="00F4089F"/>
    <w:rsid w:val="00F5712A"/>
    <w:rsid w:val="00F77267"/>
    <w:rsid w:val="00F772A7"/>
    <w:rsid w:val="00FA4BEB"/>
    <w:rsid w:val="00FB1C94"/>
    <w:rsid w:val="00FC694B"/>
    <w:rsid w:val="00FE3DB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B3BB55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6BE"/>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0246BE"/>
    <w:pPr>
      <w:jc w:val="both"/>
    </w:pPr>
    <w:rPr>
      <w:rFonts w:ascii="Times New Roman" w:hAnsi="Times New Roman"/>
      <w:sz w:val="20"/>
    </w:rPr>
  </w:style>
  <w:style w:type="character" w:customStyle="1" w:styleId="TextonotaalfinalCar">
    <w:name w:val="Texto nota al final Car"/>
    <w:basedOn w:val="Fuentedeprrafopredeter"/>
    <w:link w:val="Textonotaalfinal"/>
    <w:rsid w:val="000246BE"/>
    <w:rPr>
      <w:rFonts w:ascii="Times New Roman" w:eastAsia="Times" w:hAnsi="Times New Roman" w:cs="Times New Roman"/>
      <w:noProof/>
      <w:sz w:val="20"/>
      <w:szCs w:val="20"/>
    </w:rPr>
  </w:style>
  <w:style w:type="character" w:styleId="Refdenotaalfinal">
    <w:name w:val="endnote reference"/>
    <w:rsid w:val="000246B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6BE"/>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0246BE"/>
    <w:pPr>
      <w:jc w:val="both"/>
    </w:pPr>
    <w:rPr>
      <w:rFonts w:ascii="Times New Roman" w:hAnsi="Times New Roman"/>
      <w:sz w:val="20"/>
    </w:rPr>
  </w:style>
  <w:style w:type="character" w:customStyle="1" w:styleId="TextonotaalfinalCar">
    <w:name w:val="Texto nota al final Car"/>
    <w:basedOn w:val="Fuentedeprrafopredeter"/>
    <w:link w:val="Textonotaalfinal"/>
    <w:rsid w:val="000246BE"/>
    <w:rPr>
      <w:rFonts w:ascii="Times New Roman" w:eastAsia="Times" w:hAnsi="Times New Roman" w:cs="Times New Roman"/>
      <w:noProof/>
      <w:sz w:val="20"/>
      <w:szCs w:val="20"/>
    </w:rPr>
  </w:style>
  <w:style w:type="character" w:styleId="Refdenotaalfinal">
    <w:name w:val="endnote reference"/>
    <w:rsid w:val="000246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812</Words>
  <Characters>4472</Characters>
  <Application>Microsoft Macintosh Word</Application>
  <DocSecurity>0</DocSecurity>
  <Lines>37</Lines>
  <Paragraphs>10</Paragraphs>
  <ScaleCrop>false</ScaleCrop>
  <Company>casita</Company>
  <LinksUpToDate>false</LinksUpToDate>
  <CharactersWithSpaces>5274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235</cp:revision>
  <dcterms:created xsi:type="dcterms:W3CDTF">2015-11-30T10:28:00Z</dcterms:created>
  <dcterms:modified xsi:type="dcterms:W3CDTF">2015-12-22T11:22:00Z</dcterms:modified>
</cp:coreProperties>
</file>