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2020BC" w14:textId="514EBFD8" w:rsidR="006A68F3" w:rsidRDefault="006A68F3" w:rsidP="00C35888">
      <w:pPr>
        <w:ind w:left="708" w:hanging="708"/>
        <w:jc w:val="center"/>
        <w:rPr>
          <w:rFonts w:ascii="Times New Roman" w:hAnsi="Times New Roman"/>
        </w:rPr>
      </w:pPr>
      <w:r>
        <w:rPr>
          <w:rFonts w:ascii="Times New Roman" w:hAnsi="Times New Roman"/>
        </w:rPr>
        <w:t>970 novembre 3, Chiassa</w:t>
      </w:r>
      <w:r>
        <w:rPr>
          <w:rStyle w:val="Refdenotaalfinal"/>
          <w:rFonts w:ascii="Times New Roman" w:hAnsi="Times New Roman"/>
        </w:rPr>
        <w:endnoteReference w:id="1"/>
      </w:r>
    </w:p>
    <w:p w14:paraId="2D948D30" w14:textId="77777777" w:rsidR="006A68F3" w:rsidRDefault="006A68F3" w:rsidP="006A68F3">
      <w:pPr>
        <w:jc w:val="both"/>
        <w:rPr>
          <w:rFonts w:ascii="Times New Roman" w:hAnsi="Times New Roman"/>
        </w:rPr>
      </w:pPr>
    </w:p>
    <w:p w14:paraId="36F92974" w14:textId="34FC55AF" w:rsidR="006A68F3" w:rsidRDefault="008804E1" w:rsidP="006A68F3">
      <w:pPr>
        <w:pStyle w:val="Textodecuerpo"/>
        <w:rPr>
          <w:rFonts w:ascii="Times New Roman" w:hAnsi="Times New Roman"/>
        </w:rPr>
      </w:pPr>
      <w:r>
        <w:rPr>
          <w:rFonts w:ascii="Times New Roman" w:hAnsi="Times New Roman"/>
        </w:rPr>
        <w:t xml:space="preserve">Nel placito </w:t>
      </w:r>
      <w:r w:rsidR="005040FA">
        <w:rPr>
          <w:rFonts w:ascii="Times New Roman" w:hAnsi="Times New Roman"/>
        </w:rPr>
        <w:t>presieduto</w:t>
      </w:r>
      <w:r w:rsidR="00AD293D">
        <w:rPr>
          <w:rFonts w:ascii="Times New Roman" w:hAnsi="Times New Roman"/>
        </w:rPr>
        <w:t xml:space="preserve"> dal marchese </w:t>
      </w:r>
      <w:r w:rsidR="001A1011">
        <w:rPr>
          <w:rFonts w:ascii="Times New Roman" w:hAnsi="Times New Roman"/>
        </w:rPr>
        <w:t>Obertus, conte di palazzo</w:t>
      </w:r>
      <w:r w:rsidR="001D7671">
        <w:rPr>
          <w:rFonts w:ascii="Times New Roman" w:hAnsi="Times New Roman"/>
        </w:rPr>
        <w:t>,</w:t>
      </w:r>
      <w:r w:rsidR="00E91DE5">
        <w:rPr>
          <w:rFonts w:ascii="Times New Roman" w:hAnsi="Times New Roman"/>
        </w:rPr>
        <w:t xml:space="preserve"> alla presenza</w:t>
      </w:r>
      <w:r w:rsidR="001A1011">
        <w:rPr>
          <w:rFonts w:ascii="Times New Roman" w:hAnsi="Times New Roman"/>
        </w:rPr>
        <w:t xml:space="preserve"> </w:t>
      </w:r>
      <w:r w:rsidR="000C186D">
        <w:rPr>
          <w:rFonts w:ascii="Times New Roman" w:hAnsi="Times New Roman"/>
        </w:rPr>
        <w:t>de</w:t>
      </w:r>
      <w:r w:rsidR="00F75342">
        <w:rPr>
          <w:rFonts w:ascii="Times New Roman" w:hAnsi="Times New Roman"/>
        </w:rPr>
        <w:t>ll’impe</w:t>
      </w:r>
      <w:r w:rsidR="00B51FE1">
        <w:rPr>
          <w:rFonts w:ascii="Times New Roman" w:hAnsi="Times New Roman"/>
        </w:rPr>
        <w:t>ratore Otto,</w:t>
      </w:r>
      <w:r>
        <w:rPr>
          <w:rFonts w:ascii="Times New Roman" w:hAnsi="Times New Roman"/>
        </w:rPr>
        <w:t xml:space="preserve"> </w:t>
      </w:r>
      <w:r w:rsidR="006E6D7E">
        <w:rPr>
          <w:rFonts w:ascii="Times New Roman" w:hAnsi="Times New Roman"/>
        </w:rPr>
        <w:t>Petrus</w:t>
      </w:r>
      <w:r w:rsidR="003659E6">
        <w:rPr>
          <w:rFonts w:ascii="Times New Roman" w:hAnsi="Times New Roman"/>
        </w:rPr>
        <w:t>,</w:t>
      </w:r>
      <w:r w:rsidR="00B161C1">
        <w:rPr>
          <w:rFonts w:ascii="Times New Roman" w:hAnsi="Times New Roman"/>
        </w:rPr>
        <w:t xml:space="preserve"> abate del monastero di Santa</w:t>
      </w:r>
      <w:r w:rsidR="00F7313C">
        <w:rPr>
          <w:rFonts w:ascii="Times New Roman" w:hAnsi="Times New Roman"/>
        </w:rPr>
        <w:t xml:space="preserve"> Fi</w:t>
      </w:r>
      <w:r w:rsidR="00F532CA">
        <w:rPr>
          <w:rFonts w:ascii="Times New Roman" w:hAnsi="Times New Roman"/>
        </w:rPr>
        <w:t>ora</w:t>
      </w:r>
      <w:r w:rsidR="003659E6">
        <w:rPr>
          <w:rFonts w:ascii="Times New Roman" w:hAnsi="Times New Roman"/>
        </w:rPr>
        <w:t>,</w:t>
      </w:r>
      <w:r w:rsidR="00F532CA">
        <w:rPr>
          <w:rFonts w:ascii="Times New Roman" w:hAnsi="Times New Roman"/>
        </w:rPr>
        <w:t xml:space="preserve"> e il giudice Arnolfus</w:t>
      </w:r>
      <w:r w:rsidR="00D73AEC">
        <w:rPr>
          <w:rFonts w:ascii="Times New Roman" w:hAnsi="Times New Roman"/>
        </w:rPr>
        <w:t>,</w:t>
      </w:r>
      <w:r w:rsidR="006A68F3">
        <w:rPr>
          <w:rFonts w:ascii="Times New Roman" w:hAnsi="Times New Roman"/>
        </w:rPr>
        <w:t xml:space="preserve"> suo avvocato</w:t>
      </w:r>
      <w:r w:rsidR="00D73AEC">
        <w:rPr>
          <w:rFonts w:ascii="Times New Roman" w:hAnsi="Times New Roman"/>
        </w:rPr>
        <w:t>,</w:t>
      </w:r>
      <w:r w:rsidR="006A68F3">
        <w:rPr>
          <w:rFonts w:ascii="Times New Roman" w:hAnsi="Times New Roman"/>
        </w:rPr>
        <w:t xml:space="preserve"> prese</w:t>
      </w:r>
      <w:r w:rsidR="003576A1">
        <w:rPr>
          <w:rFonts w:ascii="Times New Roman" w:hAnsi="Times New Roman"/>
        </w:rPr>
        <w:t>ntano un</w:t>
      </w:r>
      <w:r w:rsidR="004468E5">
        <w:rPr>
          <w:rFonts w:ascii="Times New Roman" w:hAnsi="Times New Roman"/>
        </w:rPr>
        <w:t xml:space="preserve">a donazione fatta dal </w:t>
      </w:r>
      <w:r w:rsidR="006A68F3">
        <w:rPr>
          <w:rFonts w:ascii="Times New Roman" w:hAnsi="Times New Roman"/>
        </w:rPr>
        <w:t xml:space="preserve">diacono </w:t>
      </w:r>
      <w:r w:rsidR="00BE35AA">
        <w:rPr>
          <w:rFonts w:ascii="Times New Roman" w:hAnsi="Times New Roman"/>
        </w:rPr>
        <w:t>Vuillelmus</w:t>
      </w:r>
      <w:r w:rsidR="00FA4EE0">
        <w:rPr>
          <w:rFonts w:ascii="Times New Roman" w:hAnsi="Times New Roman"/>
        </w:rPr>
        <w:t>, figlio del fu</w:t>
      </w:r>
      <w:r w:rsidR="006A68F3">
        <w:rPr>
          <w:rFonts w:ascii="Times New Roman" w:hAnsi="Times New Roman"/>
        </w:rPr>
        <w:t xml:space="preserve"> </w:t>
      </w:r>
      <w:r w:rsidR="002C4076">
        <w:rPr>
          <w:rFonts w:ascii="Times New Roman" w:hAnsi="Times New Roman"/>
        </w:rPr>
        <w:t>Aritio</w:t>
      </w:r>
      <w:r w:rsidR="00FA4EE0">
        <w:rPr>
          <w:rFonts w:ascii="Times New Roman" w:hAnsi="Times New Roman"/>
        </w:rPr>
        <w:t>,</w:t>
      </w:r>
      <w:r w:rsidR="002C4076">
        <w:rPr>
          <w:rFonts w:ascii="Times New Roman" w:hAnsi="Times New Roman"/>
        </w:rPr>
        <w:t xml:space="preserve"> </w:t>
      </w:r>
      <w:r w:rsidR="009D6CDA">
        <w:rPr>
          <w:rFonts w:ascii="Times New Roman" w:hAnsi="Times New Roman"/>
        </w:rPr>
        <w:t>di</w:t>
      </w:r>
      <w:r w:rsidR="006A68F3">
        <w:rPr>
          <w:rFonts w:ascii="Times New Roman" w:hAnsi="Times New Roman"/>
        </w:rPr>
        <w:t xml:space="preserve"> </w:t>
      </w:r>
      <w:r w:rsidR="00C574A2">
        <w:rPr>
          <w:rFonts w:ascii="Times New Roman" w:hAnsi="Times New Roman"/>
        </w:rPr>
        <w:t>vari</w:t>
      </w:r>
      <w:r w:rsidR="00E05564">
        <w:rPr>
          <w:rFonts w:ascii="Times New Roman" w:hAnsi="Times New Roman"/>
        </w:rPr>
        <w:t xml:space="preserve"> beni a detto monastero. L’abbate e il suo avvocato</w:t>
      </w:r>
      <w:r w:rsidR="006A68F3">
        <w:rPr>
          <w:rFonts w:ascii="Times New Roman" w:hAnsi="Times New Roman"/>
        </w:rPr>
        <w:t xml:space="preserve"> </w:t>
      </w:r>
      <w:r w:rsidR="00540675">
        <w:rPr>
          <w:rFonts w:ascii="Times New Roman" w:hAnsi="Times New Roman"/>
        </w:rPr>
        <w:t>ottengono così</w:t>
      </w:r>
      <w:r w:rsidR="00431544">
        <w:rPr>
          <w:rFonts w:ascii="Times New Roman" w:hAnsi="Times New Roman"/>
        </w:rPr>
        <w:t xml:space="preserve"> ragione contro</w:t>
      </w:r>
      <w:r w:rsidR="00540675">
        <w:rPr>
          <w:rFonts w:ascii="Times New Roman" w:hAnsi="Times New Roman"/>
        </w:rPr>
        <w:t xml:space="preserve"> le pretese</w:t>
      </w:r>
      <w:r w:rsidR="00842C7E">
        <w:rPr>
          <w:rFonts w:ascii="Times New Roman" w:hAnsi="Times New Roman"/>
        </w:rPr>
        <w:t xml:space="preserve"> di</w:t>
      </w:r>
      <w:r w:rsidR="00431544">
        <w:rPr>
          <w:rFonts w:ascii="Times New Roman" w:hAnsi="Times New Roman"/>
        </w:rPr>
        <w:t xml:space="preserve"> Rodu</w:t>
      </w:r>
      <w:r w:rsidR="00BF5E1D">
        <w:rPr>
          <w:rFonts w:ascii="Times New Roman" w:hAnsi="Times New Roman"/>
        </w:rPr>
        <w:t>lfus</w:t>
      </w:r>
      <w:r w:rsidR="00C639A5">
        <w:rPr>
          <w:rFonts w:ascii="Times New Roman" w:hAnsi="Times New Roman"/>
        </w:rPr>
        <w:t>,</w:t>
      </w:r>
      <w:r w:rsidR="006A68F3">
        <w:rPr>
          <w:rFonts w:ascii="Times New Roman" w:hAnsi="Times New Roman"/>
        </w:rPr>
        <w:t xml:space="preserve"> che aveva </w:t>
      </w:r>
      <w:r w:rsidR="00425130">
        <w:rPr>
          <w:rFonts w:ascii="Times New Roman" w:hAnsi="Times New Roman"/>
        </w:rPr>
        <w:t>contestato</w:t>
      </w:r>
      <w:r w:rsidR="006A68F3">
        <w:rPr>
          <w:rFonts w:ascii="Times New Roman" w:hAnsi="Times New Roman"/>
        </w:rPr>
        <w:t xml:space="preserve"> </w:t>
      </w:r>
      <w:r w:rsidR="008D4DED">
        <w:rPr>
          <w:rFonts w:ascii="Times New Roman" w:hAnsi="Times New Roman"/>
        </w:rPr>
        <w:t xml:space="preserve">al monastero il possesso </w:t>
      </w:r>
      <w:r w:rsidR="00E92255">
        <w:rPr>
          <w:rFonts w:ascii="Times New Roman" w:hAnsi="Times New Roman"/>
        </w:rPr>
        <w:t>il tale possesso.</w:t>
      </w:r>
    </w:p>
    <w:p w14:paraId="0FB817C4" w14:textId="77777777" w:rsidR="006A68F3" w:rsidRDefault="006A68F3" w:rsidP="006A68F3">
      <w:pPr>
        <w:jc w:val="both"/>
        <w:rPr>
          <w:rFonts w:ascii="Times New Roman" w:hAnsi="Times New Roman"/>
        </w:rPr>
      </w:pPr>
    </w:p>
    <w:p w14:paraId="09D1C0D0" w14:textId="77777777" w:rsidR="00E65C52" w:rsidRDefault="00E65C52" w:rsidP="006A68F3">
      <w:pPr>
        <w:jc w:val="both"/>
        <w:rPr>
          <w:rFonts w:ascii="Times New Roman" w:hAnsi="Times New Roman"/>
        </w:rPr>
      </w:pPr>
      <w:r>
        <w:rPr>
          <w:rFonts w:ascii="Times New Roman" w:hAnsi="Times New Roman"/>
        </w:rPr>
        <w:t>Originale.</w:t>
      </w:r>
    </w:p>
    <w:p w14:paraId="24747EC4" w14:textId="43C4585D" w:rsidR="006A68F3" w:rsidRDefault="00614610" w:rsidP="006A68F3">
      <w:pPr>
        <w:jc w:val="both"/>
        <w:rPr>
          <w:rFonts w:ascii="Times New Roman" w:hAnsi="Times New Roman"/>
        </w:rPr>
      </w:pPr>
      <w:r>
        <w:rPr>
          <w:rFonts w:ascii="Times New Roman" w:hAnsi="Times New Roman"/>
        </w:rPr>
        <w:t>Archivio Capitolare di Arezzo,</w:t>
      </w:r>
      <w:r w:rsidR="00C73D0E">
        <w:rPr>
          <w:rFonts w:ascii="Times New Roman" w:hAnsi="Times New Roman"/>
        </w:rPr>
        <w:t xml:space="preserve"> Carte di Ss</w:t>
      </w:r>
      <w:r w:rsidR="006A68F3">
        <w:rPr>
          <w:rFonts w:ascii="Times New Roman" w:hAnsi="Times New Roman"/>
        </w:rPr>
        <w:t>. Fiora e Lucilla, n. 17 [A]</w:t>
      </w:r>
      <w:r w:rsidR="00BA6994">
        <w:rPr>
          <w:rStyle w:val="Refdenotaalfinal"/>
          <w:rFonts w:ascii="Times New Roman" w:hAnsi="Times New Roman"/>
        </w:rPr>
        <w:endnoteReference w:customMarkFollows="1" w:id="2"/>
        <w:t>*</w:t>
      </w:r>
      <w:r w:rsidR="006A68F3">
        <w:rPr>
          <w:rFonts w:ascii="Times New Roman" w:hAnsi="Times New Roman"/>
        </w:rPr>
        <w:t>.</w:t>
      </w:r>
    </w:p>
    <w:p w14:paraId="242FE066" w14:textId="2FD1008A" w:rsidR="006A68F3" w:rsidRDefault="000564A9" w:rsidP="000564A9">
      <w:pPr>
        <w:tabs>
          <w:tab w:val="left" w:pos="7610"/>
        </w:tabs>
        <w:jc w:val="both"/>
        <w:rPr>
          <w:rFonts w:ascii="Times New Roman" w:hAnsi="Times New Roman"/>
        </w:rPr>
      </w:pPr>
      <w:r>
        <w:rPr>
          <w:rFonts w:ascii="Times New Roman" w:hAnsi="Times New Roman"/>
        </w:rPr>
        <w:tab/>
      </w:r>
    </w:p>
    <w:p w14:paraId="5BC06F90" w14:textId="405E159A" w:rsidR="006A68F3" w:rsidRDefault="006A68F3" w:rsidP="006A68F3">
      <w:pPr>
        <w:jc w:val="both"/>
        <w:rPr>
          <w:rFonts w:ascii="Times New Roman" w:hAnsi="Times New Roman"/>
        </w:rPr>
      </w:pPr>
      <w:r>
        <w:rPr>
          <w:rFonts w:ascii="Times New Roman" w:hAnsi="Times New Roman"/>
        </w:rPr>
        <w:t>Edizione: M</w:t>
      </w:r>
      <w:r w:rsidR="00E43EBA">
        <w:rPr>
          <w:rFonts w:ascii="Times New Roman" w:hAnsi="Times New Roman"/>
        </w:rPr>
        <w:t>anaresi</w:t>
      </w:r>
      <w:r>
        <w:rPr>
          <w:rFonts w:ascii="Times New Roman" w:hAnsi="Times New Roman"/>
        </w:rPr>
        <w:t>,</w:t>
      </w:r>
      <w:r w:rsidR="00466271">
        <w:rPr>
          <w:rFonts w:ascii="Times New Roman" w:hAnsi="Times New Roman"/>
        </w:rPr>
        <w:t xml:space="preserve"> II,</w:t>
      </w:r>
      <w:r w:rsidR="006D4544">
        <w:rPr>
          <w:rFonts w:ascii="Times New Roman" w:hAnsi="Times New Roman"/>
        </w:rPr>
        <w:t xml:space="preserve"> n. 168</w:t>
      </w:r>
    </w:p>
    <w:p w14:paraId="0084BE3C" w14:textId="77777777" w:rsidR="006A68F3" w:rsidRDefault="006A68F3" w:rsidP="006A68F3">
      <w:pPr>
        <w:jc w:val="both"/>
        <w:rPr>
          <w:rFonts w:ascii="Times New Roman" w:hAnsi="Times New Roman"/>
        </w:rPr>
      </w:pPr>
    </w:p>
    <w:p w14:paraId="7F82ABE1" w14:textId="39F334BE" w:rsidR="006A68F3" w:rsidRDefault="006A68F3" w:rsidP="006A68F3">
      <w:pPr>
        <w:pStyle w:val="Textodecuerpo"/>
        <w:rPr>
          <w:rFonts w:ascii="Times New Roman" w:hAnsi="Times New Roman"/>
        </w:rPr>
      </w:pPr>
      <w:r>
        <w:rPr>
          <w:rFonts w:ascii="Times New Roman" w:hAnsi="Times New Roman"/>
        </w:rPr>
        <w:t>(S) Dum in Dei nomine locus que dicitur Classe</w:t>
      </w:r>
      <w:r w:rsidR="00A02D01">
        <w:rPr>
          <w:rStyle w:val="Refdenotaalfinal"/>
          <w:rFonts w:ascii="Times New Roman" w:hAnsi="Times New Roman"/>
        </w:rPr>
        <w:endnoteReference w:id="3"/>
      </w:r>
      <w:r>
        <w:rPr>
          <w:rFonts w:ascii="Times New Roman" w:hAnsi="Times New Roman"/>
        </w:rPr>
        <w:t xml:space="preserve"> in terra Alberici filio bone memorie Aigoni in sala ubi domnus imperatoris preerat, residisset in iudicio Otbertus</w:t>
      </w:r>
      <w:r w:rsidR="002C5D7A">
        <w:rPr>
          <w:rStyle w:val="Refdenotaalfinal"/>
          <w:rFonts w:ascii="Times New Roman" w:hAnsi="Times New Roman"/>
        </w:rPr>
        <w:endnoteReference w:id="4"/>
      </w:r>
      <w:r>
        <w:rPr>
          <w:rFonts w:ascii="Times New Roman" w:hAnsi="Times New Roman"/>
        </w:rPr>
        <w:t xml:space="preserve"> marchio et comes palatio ad singulorum hominum iustitias fac</w:t>
      </w:r>
      <w:r w:rsidR="006E31FB">
        <w:rPr>
          <w:rFonts w:ascii="Times New Roman" w:hAnsi="Times New Roman"/>
        </w:rPr>
        <w:t>iendas hac deliberandas, resedem</w:t>
      </w:r>
      <w:r>
        <w:rPr>
          <w:rFonts w:ascii="Times New Roman" w:hAnsi="Times New Roman"/>
        </w:rPr>
        <w:t xml:space="preserve">tibus cum eo Siefredus que Sicco vocatur, </w:t>
      </w:r>
      <w:r w:rsidR="00F563F7">
        <w:rPr>
          <w:rFonts w:ascii="Times New Roman" w:hAnsi="Times New Roman"/>
        </w:rPr>
        <w:t>vassus</w:t>
      </w:r>
      <w:r w:rsidR="00F563F7">
        <w:rPr>
          <w:rStyle w:val="Refdenotaalfinal"/>
          <w:rFonts w:ascii="Times New Roman" w:hAnsi="Times New Roman"/>
        </w:rPr>
        <w:endnoteReference w:customMarkFollows="1" w:id="5"/>
        <w:t>a</w:t>
      </w:r>
      <w:r>
        <w:rPr>
          <w:rFonts w:ascii="Times New Roman" w:hAnsi="Times New Roman"/>
        </w:rPr>
        <w:t xml:space="preserve"> domni imperatoris, Teutpaldus, Ghiseprandus, Bentio, Ahistulfus, Ebbo, Angualmundus, Bonitio, Atripertus</w:t>
      </w:r>
      <w:r w:rsidR="003B3F38">
        <w:rPr>
          <w:rStyle w:val="Refdenotaalfinal"/>
          <w:rFonts w:ascii="Times New Roman" w:hAnsi="Times New Roman"/>
        </w:rPr>
        <w:endnoteReference w:id="6"/>
      </w:r>
      <w:r>
        <w:rPr>
          <w:rFonts w:ascii="Times New Roman" w:hAnsi="Times New Roman"/>
        </w:rPr>
        <w:t>, Martinus, Rofinus iudicibus sacri palatii</w:t>
      </w:r>
      <w:r w:rsidR="009F6597">
        <w:rPr>
          <w:rStyle w:val="Refdenotaalfinal"/>
          <w:rFonts w:ascii="Times New Roman" w:hAnsi="Times New Roman"/>
        </w:rPr>
        <w:endnoteReference w:id="7"/>
      </w:r>
      <w:r>
        <w:rPr>
          <w:rFonts w:ascii="Times New Roman" w:hAnsi="Times New Roman"/>
        </w:rPr>
        <w:t>, Mainardo filio bone memorie Vualcheri, Boso et Vualcheri et Griffo et Teutio germani filii bone memorie Vualcheri</w:t>
      </w:r>
      <w:r w:rsidR="00C33033">
        <w:rPr>
          <w:rStyle w:val="Refdenotaalfinal"/>
          <w:rFonts w:ascii="Times New Roman" w:hAnsi="Times New Roman"/>
        </w:rPr>
        <w:endnoteReference w:id="8"/>
      </w:r>
      <w:r>
        <w:rPr>
          <w:rFonts w:ascii="Times New Roman" w:hAnsi="Times New Roman"/>
        </w:rPr>
        <w:t>, Tetbaldo filio bone memorie Tetbaldi, Ildibrando, Rodulfo, Alberidio et Saxo germani filii bone memorie Ildibrandi, Urso filio bone memor</w:t>
      </w:r>
      <w:r w:rsidR="00C80E59">
        <w:rPr>
          <w:rFonts w:ascii="Times New Roman" w:hAnsi="Times New Roman"/>
        </w:rPr>
        <w:t>ie Griffoni et reliqui</w:t>
      </w:r>
      <w:r w:rsidR="00710353">
        <w:rPr>
          <w:rFonts w:ascii="Times New Roman" w:hAnsi="Times New Roman"/>
        </w:rPr>
        <w:t>s</w:t>
      </w:r>
      <w:r w:rsidR="00710353">
        <w:rPr>
          <w:rStyle w:val="Refdenotaalfinal"/>
          <w:rFonts w:ascii="Times New Roman" w:hAnsi="Times New Roman"/>
        </w:rPr>
        <w:endnoteReference w:customMarkFollows="1" w:id="9"/>
        <w:t>b</w:t>
      </w:r>
      <w:r w:rsidR="00C80E59">
        <w:rPr>
          <w:rFonts w:ascii="Times New Roman" w:hAnsi="Times New Roman"/>
        </w:rPr>
        <w:t xml:space="preserve"> plures. I</w:t>
      </w:r>
      <w:r>
        <w:rPr>
          <w:rFonts w:ascii="Times New Roman" w:hAnsi="Times New Roman"/>
        </w:rPr>
        <w:t>bique eorum veniems presentia Petrus abbas de eclesia et monasterio beate sancte Flore</w:t>
      </w:r>
      <w:r>
        <w:rPr>
          <w:rStyle w:val="Refdenotaalfinal"/>
          <w:rFonts w:ascii="Times New Roman" w:hAnsi="Times New Roman"/>
        </w:rPr>
        <w:endnoteReference w:id="10"/>
      </w:r>
      <w:r>
        <w:rPr>
          <w:rFonts w:ascii="Times New Roman" w:hAnsi="Times New Roman"/>
        </w:rPr>
        <w:t xml:space="preserve"> una cum Arnulfo iudex et avocato suo et eiusdem monasterii et ostenderunt ibi in eodem iudicio moninem unam in qua continebatur in ea ab ordinem, sicut hic supter legitur: «In nomine domini nostri Iesu Christi. Hugo rex anno regni eius quarto decimo, seo et Lottharius dilecto filio eius anno regni eius decimo, memse aprelis, indictione quartadecima. Manifest</w:t>
      </w:r>
      <w:r w:rsidR="005F7E65">
        <w:rPr>
          <w:rFonts w:ascii="Times New Roman" w:hAnsi="Times New Roman"/>
        </w:rPr>
        <w:t>u</w:t>
      </w:r>
      <w:r w:rsidR="00A54C68">
        <w:rPr>
          <w:rStyle w:val="Refdenotaalfinal"/>
          <w:rFonts w:ascii="Times New Roman" w:hAnsi="Times New Roman"/>
        </w:rPr>
        <w:endnoteReference w:customMarkFollows="1" w:id="11"/>
        <w:t>c</w:t>
      </w:r>
      <w:r>
        <w:rPr>
          <w:rFonts w:ascii="Times New Roman" w:hAnsi="Times New Roman"/>
        </w:rPr>
        <w:t xml:space="preserve"> sum ego Vuillelmo diaconus filio quondam Aritio, quia dum homo vixerit, semper debet coitare ut, quando animo de corpore exierit, com puro corde et munda sientia, ut possit resistere ante Domini maiestatem, quia mors et vita in manu Dei est; modo vero per hunc scriptum iudicato et meo testamento trado iudico pro mercis et remedio anime mee tibi beate sancte Flore case et res ille in integrum quas antea recta fuit per quondam Cristiano clerico et modo est de meo donnicato, una cum ipse case et sorte in casale Galognano et modo regere videtur per Angnelo et Iohanne massarii, una cum ipse sorte quatuor in casale Cisiliano, una de ipse suprascripte sorte modo regitur per Leo, alia sorte regitur per Rotchari, tertia sorte regitur per Adtio et Ansperto germani, quarta sorte regitur per Leo massario, alia sorte im Patrinione que modo regitur per Patrino massario, tam suprascripte casis et sortis et rebus cum solamentis suis cultis ortas vineis pratis campis silvis aquis et rivis pascuis cultum vel incultum, omnia et in omnibus qualiter super legitur tibi ecclesie sancte Flore in integrum trado et iudico pro mercis et remedio anime mee, et antepono tibi ipsa casa et sorte quas antea dedi Alfuso et Iohanni germanis, constituo tibi ipsa casa quas antea recta fuet per quondam Austro massario, et in ipsa vinea fine ipsa Carraia et fine ipso Lavando quas antea dedi Hildegamde genetrice mea qui supra Vuillelmi, et ipsa petia de terra in avocabulo Forne, et una petia de terra in Campoluci de modiorum sex, et antepono tibi ipsa </w:t>
      </w:r>
      <w:r w:rsidR="00030045">
        <w:rPr>
          <w:rFonts w:ascii="Times New Roman" w:hAnsi="Times New Roman"/>
        </w:rPr>
        <w:t>casa</w:t>
      </w:r>
      <w:r w:rsidR="00030045">
        <w:rPr>
          <w:rStyle w:val="Refdenotaalfinal"/>
          <w:rFonts w:ascii="Times New Roman" w:hAnsi="Times New Roman"/>
        </w:rPr>
        <w:endnoteReference w:customMarkFollows="1" w:id="12"/>
        <w:t>d</w:t>
      </w:r>
      <w:r w:rsidR="00030045">
        <w:rPr>
          <w:rFonts w:ascii="Times New Roman" w:hAnsi="Times New Roman"/>
        </w:rPr>
        <w:t xml:space="preserve"> </w:t>
      </w:r>
      <w:r>
        <w:rPr>
          <w:rFonts w:ascii="Times New Roman" w:hAnsi="Times New Roman"/>
        </w:rPr>
        <w:t xml:space="preserve">et sorte que modo regitur per Urso Patrinione quem tibi dabo; alia sorte et rebus quod super legitur, que sunt in casale Patrignone et in Campoluci et in Cisiliano et per suis vocabulis, tibi beate Flore in integrum trado et iudico pro merce et remedium anime mee ad tuam proprietatem abemdum, exepto suprascripto anteposito. </w:t>
      </w:r>
      <w:r>
        <w:rPr>
          <w:rFonts w:ascii="Times New Roman" w:hAnsi="Times New Roman"/>
        </w:rPr>
        <w:lastRenderedPageBreak/>
        <w:t>Aut si ullus de heredibus meis incontra hunc meum iudicatum vel dispositi ire inrumpere aut disfacere aut contendere aut molestare aut minuere de suprascripto meo iudicato, tunc componere promitto, ego qui supra Vuillelmus diaconus cum meis heredes tibi beate sancte Flore et ad tuos rectores suprascripta res cum omnem edificiis suis super se abentes ibidem, in propimcuo loco in duplum. Ecce quam mea voluntas Deo gratia inplevi, unde humc meum iudicato ad me facto, qualiter super legitur, Aritio notario et scabino scribere rogavit. Actum Aritio feliciter. Ego Vuillelmus diaconus in unc scriptum iudicato ad me facto manu mea subscripsi. Leo humilis archidiaconus rogatus ad Vuillelmo testis subscripsi. Ego Gerolimo rogatus ad Vuillelmo testis subscripsi. Signum</w:t>
      </w:r>
      <w:r w:rsidR="00FF3250">
        <w:rPr>
          <w:rFonts w:ascii="Times New Roman" w:hAnsi="Times New Roman"/>
        </w:rPr>
        <w:t xml:space="preserve"> +</w:t>
      </w:r>
      <w:r w:rsidR="00FF3250">
        <w:rPr>
          <w:rStyle w:val="Refdenotaalfinal"/>
          <w:rFonts w:ascii="Times New Roman" w:hAnsi="Times New Roman"/>
        </w:rPr>
        <w:endnoteReference w:customMarkFollows="1" w:id="13"/>
        <w:t>e</w:t>
      </w:r>
      <w:r>
        <w:rPr>
          <w:rFonts w:ascii="Times New Roman" w:hAnsi="Times New Roman"/>
        </w:rPr>
        <w:t xml:space="preserve"> manus Luponi et Ugoni roiti ad Vuillelmo diacono testes. Ego Aritio notario et scavino hunc scriptum iudicato scrips</w:t>
      </w:r>
      <w:r w:rsidR="002D49DC">
        <w:rPr>
          <w:rStyle w:val="Refdenotaalfinal"/>
          <w:rFonts w:ascii="Times New Roman" w:hAnsi="Times New Roman"/>
        </w:rPr>
        <w:endnoteReference w:customMarkFollows="1" w:id="14"/>
        <w:t>f</w:t>
      </w:r>
      <w:r>
        <w:rPr>
          <w:rFonts w:ascii="Times New Roman" w:hAnsi="Times New Roman"/>
        </w:rPr>
        <w:t xml:space="preserve"> et complevi, feliciter». Monimem ipsum ostensum et ab ordine lecto, interrogati sunt ipsi donnus Petrus abbas et Arnulfo iudex avocato suo et ipsius monasterii, pro quit monimen ipsum ostenderent. Qui dixerunt: “Vere ideo his vestris presenciis istum ostensimus monimen, ut nec quislibet homo dicere possit quod nos eum silens aut ocultum vel conludiosum ad parte ipsius monasterii abuissemus aut detenuissemus et numc casis et rebus illis que in eodem legitur monimem, iusta ista monimen nos ad parte ipsius monasterii sanctae Flora abemus et detinemus proprietatem, et si quislibet homo adversus nos seu adversus parti predicti monasterii exinde aliquit dicere vul, parati sumus inde in ratione standum et, quod plus est, querimus ut dicant iste Rodulfus filio quondam Sassoni, qui hic ad presens est, si monimen ipsum quam hic ostensimus, bonum et verus est, vel si nobis aut parti predicti monasterii iam dicti casis et rebus que in eo legitur monimen, contradicere aut suptra vul an non”. Ad hec respondens ipse Rodulfo dixet et professus: “Vere monimen ipsum, quam hic ostensistis, bonum et verum est et omnia item verum est sicut in eo legitur, et vobis nec parti predicti monasterii sancte Flore iam dictis casis et omnibus rebus in easdem loco casale Galengnano et in casale Cisiliano et in Patrinione que in eo legitur monimen non contradico nec contradicere quero, quia cum lege non possumus, eo quod ian dictis casis et rebus propriis predicti monasterii sunt et esse debet cum lege, et nichil mihi pertinet ad abendum n</w:t>
      </w:r>
      <w:r w:rsidR="000146A0">
        <w:rPr>
          <w:rFonts w:ascii="Times New Roman" w:hAnsi="Times New Roman"/>
        </w:rPr>
        <w:t>ec requirendum nec querere debet</w:t>
      </w:r>
      <w:r w:rsidR="000146A0">
        <w:rPr>
          <w:rStyle w:val="Refdenotaalfinal"/>
          <w:rFonts w:ascii="Times New Roman" w:hAnsi="Times New Roman"/>
        </w:rPr>
        <w:endnoteReference w:customMarkFollows="1" w:id="15"/>
        <w:t>g</w:t>
      </w:r>
      <w:r>
        <w:rPr>
          <w:rFonts w:ascii="Times New Roman" w:hAnsi="Times New Roman"/>
        </w:rPr>
        <w:t xml:space="preserve"> cum lege”. Et spopondit se ipse Rodulfus et Teuzo et Girar</w:t>
      </w:r>
      <w:r w:rsidR="00DA6B86">
        <w:rPr>
          <w:rFonts w:ascii="Times New Roman" w:hAnsi="Times New Roman"/>
        </w:rPr>
        <w:t>s</w:t>
      </w:r>
      <w:r>
        <w:rPr>
          <w:rFonts w:ascii="Times New Roman" w:hAnsi="Times New Roman"/>
        </w:rPr>
        <w:t>do filiis eius adversus Petrus abbas et ad Arnulfo avocato suo et eiusdem monasteri seu ad parte predicti monasterii, ut si umquam in tempore contra hunc suum factum agere aut causare vel removere presumserit per se ipso aut</w:t>
      </w:r>
      <w:r w:rsidR="000668AD">
        <w:rPr>
          <w:rFonts w:ascii="Times New Roman" w:hAnsi="Times New Roman"/>
        </w:rPr>
        <w:t xml:space="preserve"> </w:t>
      </w:r>
      <w:r>
        <w:rPr>
          <w:rFonts w:ascii="Times New Roman" w:hAnsi="Times New Roman"/>
        </w:rPr>
        <w:t>per suis filiis vel heredes vel eorum summittentes personas et omni tempore exinde taciti et contenti non permanserint vel si adparuerit ullum datum vel factum quod ipsi</w:t>
      </w:r>
      <w:r w:rsidR="00E6722E">
        <w:rPr>
          <w:rFonts w:ascii="Times New Roman" w:hAnsi="Times New Roman"/>
        </w:rPr>
        <w:t>s</w:t>
      </w:r>
      <w:r w:rsidR="000C6656">
        <w:rPr>
          <w:rStyle w:val="Refdenotaalfinal"/>
          <w:rFonts w:ascii="Times New Roman" w:hAnsi="Times New Roman"/>
        </w:rPr>
        <w:endnoteReference w:customMarkFollows="1" w:id="16"/>
        <w:t>h</w:t>
      </w:r>
      <w:r>
        <w:rPr>
          <w:rFonts w:ascii="Times New Roman" w:hAnsi="Times New Roman"/>
        </w:rPr>
        <w:t xml:space="preserve"> in alia parte exinde fecissent et claruerit, ut tunc componant iste Rodulfo suisque filiis vel heredes ad parte predicti monasterii sanctae Flore vel contra que exinde causaverit, dublis ian dictis casis et rebus que supra legitur, et insuper penam argentum solidos centum. His actis et manifestatio ut supra facta, rectum eorum iudicum et auditoribus paruit esse et iudicaverunt, ut iusta eorum altercationem et eidem Rodulfi professione et manifestatione, ut ipsi Petrus abbas et Arnulfus iudex avocato suo et ipsius monasterii ian dictis casis et rebus que in eo legitur monimen, iusta ipsum monimen ad partem ipsius monasterii abere et detinere deberent proprietatem, et ipse Rodul[fus] manere exinde tacito et contento, Et finita est causa et hunc notitia pro securitate eiusdem Petri abbas fieri iussit. Quidem et ego Gherardum notarius et iudex domni imperatoris ex iussione suprascripti comiti palatii seu iudicum amonitione scripsi. Anno imperii domni Ottone nono, imperii item domni Otto filio eius Deo propitio tertio, tertia die messis novembris, indicione quartadecima.</w:t>
      </w:r>
    </w:p>
    <w:p w14:paraId="5308DDC2" w14:textId="77777777" w:rsidR="006A68F3" w:rsidRDefault="006A68F3" w:rsidP="006A68F3">
      <w:pPr>
        <w:jc w:val="both"/>
        <w:rPr>
          <w:rFonts w:ascii="Times New Roman" w:hAnsi="Times New Roman"/>
        </w:rPr>
      </w:pPr>
      <w:r>
        <w:rPr>
          <w:rFonts w:ascii="Times New Roman" w:hAnsi="Times New Roman"/>
        </w:rPr>
        <w:t>+ Otbertus comes palacii subscripsi.</w:t>
      </w:r>
    </w:p>
    <w:p w14:paraId="16304CFF" w14:textId="04BBCD55" w:rsidR="006A68F3" w:rsidRDefault="006A68F3" w:rsidP="006A68F3">
      <w:pPr>
        <w:jc w:val="both"/>
        <w:rPr>
          <w:rFonts w:ascii="Times New Roman" w:hAnsi="Times New Roman"/>
        </w:rPr>
      </w:pPr>
      <w:r>
        <w:rPr>
          <w:rFonts w:ascii="Times New Roman" w:hAnsi="Times New Roman"/>
        </w:rPr>
        <w:t>(S) Teutpaldus</w:t>
      </w:r>
      <w:r w:rsidR="002E0320">
        <w:rPr>
          <w:rStyle w:val="Refdenotaalfinal"/>
          <w:rFonts w:ascii="Times New Roman" w:hAnsi="Times New Roman"/>
        </w:rPr>
        <w:endnoteReference w:id="17"/>
      </w:r>
      <w:r>
        <w:rPr>
          <w:rFonts w:ascii="Times New Roman" w:hAnsi="Times New Roman"/>
        </w:rPr>
        <w:t xml:space="preserve"> iudex domnorum imperatorum interfui.</w:t>
      </w:r>
    </w:p>
    <w:p w14:paraId="56068D3B" w14:textId="51E1A4C2" w:rsidR="006A68F3" w:rsidRDefault="006A68F3" w:rsidP="006A68F3">
      <w:pPr>
        <w:jc w:val="both"/>
        <w:rPr>
          <w:rFonts w:ascii="Times New Roman" w:hAnsi="Times New Roman"/>
        </w:rPr>
      </w:pPr>
      <w:r>
        <w:rPr>
          <w:rFonts w:ascii="Times New Roman" w:hAnsi="Times New Roman"/>
        </w:rPr>
        <w:t xml:space="preserve">(S) </w:t>
      </w:r>
      <w:r w:rsidR="001358C0">
        <w:rPr>
          <w:rFonts w:ascii="Times New Roman" w:hAnsi="Times New Roman"/>
        </w:rPr>
        <w:t xml:space="preserve">*** </w:t>
      </w:r>
      <w:r>
        <w:rPr>
          <w:rFonts w:ascii="Times New Roman" w:hAnsi="Times New Roman"/>
        </w:rPr>
        <w:t>Benzo</w:t>
      </w:r>
      <w:r w:rsidR="001358C0">
        <w:rPr>
          <w:rFonts w:ascii="Times New Roman" w:hAnsi="Times New Roman"/>
        </w:rPr>
        <w:t xml:space="preserve"> ***</w:t>
      </w:r>
      <w:r>
        <w:rPr>
          <w:rFonts w:ascii="Times New Roman" w:hAnsi="Times New Roman"/>
        </w:rPr>
        <w:t xml:space="preserve"> iudex sacri palatii interfui</w:t>
      </w:r>
      <w:r w:rsidR="007220C6">
        <w:rPr>
          <w:rFonts w:ascii="Times New Roman" w:hAnsi="Times New Roman"/>
        </w:rPr>
        <w:t>t</w:t>
      </w:r>
      <w:r w:rsidR="001E4EEC">
        <w:rPr>
          <w:rStyle w:val="Refdenotaalfinal"/>
          <w:rFonts w:ascii="Times New Roman" w:hAnsi="Times New Roman"/>
        </w:rPr>
        <w:endnoteReference w:customMarkFollows="1" w:id="18"/>
        <w:t>i</w:t>
      </w:r>
      <w:r>
        <w:rPr>
          <w:rFonts w:ascii="Times New Roman" w:hAnsi="Times New Roman"/>
        </w:rPr>
        <w:t>.</w:t>
      </w:r>
    </w:p>
    <w:p w14:paraId="3EBB8E42" w14:textId="014A8B14" w:rsidR="006A68F3" w:rsidRDefault="006A68F3" w:rsidP="006A68F3">
      <w:pPr>
        <w:jc w:val="both"/>
        <w:rPr>
          <w:rFonts w:ascii="Times New Roman" w:hAnsi="Times New Roman"/>
        </w:rPr>
      </w:pPr>
      <w:r>
        <w:rPr>
          <w:rFonts w:ascii="Times New Roman" w:hAnsi="Times New Roman"/>
        </w:rPr>
        <w:t>(S) Aistulfus iudex domnorum imperatorum interfui.</w:t>
      </w:r>
      <w:r w:rsidR="005A6765">
        <w:rPr>
          <w:rFonts w:ascii="Times New Roman" w:hAnsi="Times New Roman"/>
        </w:rPr>
        <w:t xml:space="preserve"> </w:t>
      </w:r>
      <w:r>
        <w:rPr>
          <w:rFonts w:ascii="Times New Roman" w:hAnsi="Times New Roman"/>
        </w:rPr>
        <w:t>(S) Giseprandus iudex sacri palatii interfui</w:t>
      </w:r>
      <w:r w:rsidR="001E4EEC">
        <w:rPr>
          <w:rFonts w:ascii="Times New Roman" w:hAnsi="Times New Roman"/>
        </w:rPr>
        <w:t>t</w:t>
      </w:r>
      <w:r w:rsidR="001E4EEC">
        <w:rPr>
          <w:rStyle w:val="Refdenotaalfinal"/>
          <w:rFonts w:ascii="Times New Roman" w:hAnsi="Times New Roman"/>
        </w:rPr>
        <w:endnoteReference w:customMarkFollows="1" w:id="19"/>
        <w:t>j</w:t>
      </w:r>
      <w:r>
        <w:rPr>
          <w:rFonts w:ascii="Times New Roman" w:hAnsi="Times New Roman"/>
        </w:rPr>
        <w:t>.</w:t>
      </w:r>
    </w:p>
    <w:p w14:paraId="7B6D636D" w14:textId="0601B11B" w:rsidR="006A68F3" w:rsidRDefault="006A68F3" w:rsidP="006A68F3">
      <w:pPr>
        <w:jc w:val="both"/>
        <w:rPr>
          <w:rFonts w:ascii="Times New Roman" w:hAnsi="Times New Roman"/>
        </w:rPr>
      </w:pPr>
      <w:r>
        <w:rPr>
          <w:rFonts w:ascii="Times New Roman" w:hAnsi="Times New Roman"/>
        </w:rPr>
        <w:t>(S) Ebbo iudex domnorum inperatorum interfui</w:t>
      </w:r>
      <w:r w:rsidR="001E4EEC">
        <w:rPr>
          <w:rStyle w:val="Refdenotaalfinal"/>
          <w:rFonts w:ascii="Times New Roman" w:hAnsi="Times New Roman"/>
        </w:rPr>
        <w:endnoteReference w:customMarkFollows="1" w:id="20"/>
        <w:t>k</w:t>
      </w:r>
      <w:r>
        <w:rPr>
          <w:rFonts w:ascii="Times New Roman" w:hAnsi="Times New Roman"/>
        </w:rPr>
        <w:t>.</w:t>
      </w:r>
      <w:r w:rsidR="005A6765">
        <w:rPr>
          <w:rFonts w:ascii="Times New Roman" w:hAnsi="Times New Roman"/>
        </w:rPr>
        <w:t xml:space="preserve"> </w:t>
      </w:r>
      <w:r>
        <w:rPr>
          <w:rFonts w:ascii="Times New Roman" w:hAnsi="Times New Roman"/>
        </w:rPr>
        <w:t>(S) Bonizo iudex domnorum imperatorum interfui</w:t>
      </w:r>
      <w:r w:rsidR="001E4EEC">
        <w:rPr>
          <w:rStyle w:val="Refdenotaalfinal"/>
          <w:rFonts w:ascii="Times New Roman" w:hAnsi="Times New Roman"/>
        </w:rPr>
        <w:endnoteReference w:customMarkFollows="1" w:id="21"/>
        <w:t>l</w:t>
      </w:r>
      <w:r>
        <w:rPr>
          <w:rFonts w:ascii="Times New Roman" w:hAnsi="Times New Roman"/>
        </w:rPr>
        <w:t>.</w:t>
      </w:r>
    </w:p>
    <w:p w14:paraId="2E8C3DF7" w14:textId="77777777" w:rsidR="006A68F3" w:rsidRDefault="006A68F3" w:rsidP="006A68F3">
      <w:pPr>
        <w:jc w:val="both"/>
        <w:rPr>
          <w:rFonts w:ascii="Times New Roman" w:hAnsi="Times New Roman"/>
        </w:rPr>
      </w:pPr>
      <w:r>
        <w:rPr>
          <w:rFonts w:ascii="Times New Roman" w:hAnsi="Times New Roman"/>
        </w:rPr>
        <w:t>(S) Martinus iudex domnorum imperatorum interfuit.</w:t>
      </w:r>
    </w:p>
    <w:p w14:paraId="7A302C59"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E70ECF" w14:textId="77777777" w:rsidR="00DA6B86" w:rsidRDefault="00DA6B86" w:rsidP="006A68F3">
      <w:r>
        <w:separator/>
      </w:r>
    </w:p>
  </w:endnote>
  <w:endnote w:type="continuationSeparator" w:id="0">
    <w:p w14:paraId="668B8F58" w14:textId="77777777" w:rsidR="00DA6B86" w:rsidRDefault="00DA6B86" w:rsidP="006A68F3">
      <w:r>
        <w:continuationSeparator/>
      </w:r>
    </w:p>
  </w:endnote>
  <w:endnote w:id="1">
    <w:p w14:paraId="15C54BB3" w14:textId="343F8899" w:rsidR="00DA6B86" w:rsidRDefault="00DA6B86" w:rsidP="00A02D01">
      <w:pPr>
        <w:pStyle w:val="Textonotaalfinal"/>
      </w:pPr>
      <w:r>
        <w:rPr>
          <w:rStyle w:val="Refdenotaalfinal"/>
        </w:rPr>
        <w:endnoteRef/>
      </w:r>
      <w:r>
        <w:t xml:space="preserve"> Chiassa, a nord di Arezzo. Su questo placito Delumeau 1996, p. 218 e nota 86 e Puglia 2006, pp. 155-156.</w:t>
      </w:r>
    </w:p>
  </w:endnote>
  <w:endnote w:id="2">
    <w:p w14:paraId="25C4C507" w14:textId="0387F772" w:rsidR="00DA6B86" w:rsidRPr="00BA6994" w:rsidRDefault="00DA6B86" w:rsidP="00A02D01">
      <w:pPr>
        <w:pStyle w:val="Textonotaalfinal"/>
        <w:rPr>
          <w:lang w:val="es-ES_tradnl"/>
        </w:rPr>
      </w:pPr>
      <w:r>
        <w:rPr>
          <w:rStyle w:val="Refdenotaalfinal"/>
        </w:rPr>
        <w:t>*</w:t>
      </w:r>
      <w:r>
        <w:t xml:space="preserve"> </w:t>
      </w:r>
      <w:r>
        <w:t>La revisione della trascrizione è stata condotta sulla base del confronto sulla riproduzione fotografica della pergamena originale conservata nell’Archivio Diocesano di Arezzo; per esigenze di uniformità interne al progetto, si è scelto di riportare in nota, come per le altre precedenti trascrizioni, le varianti di Manaresi.</w:t>
      </w:r>
    </w:p>
  </w:endnote>
  <w:endnote w:id="3">
    <w:p w14:paraId="3BBA75DF" w14:textId="57500697" w:rsidR="00DA6B86" w:rsidRPr="00A02D01" w:rsidRDefault="00DA6B86" w:rsidP="00A02D01">
      <w:pPr>
        <w:pStyle w:val="Textonotaalfinal"/>
        <w:rPr>
          <w:lang w:val="es-ES_tradnl"/>
        </w:rPr>
      </w:pPr>
      <w:r>
        <w:rPr>
          <w:rStyle w:val="Refdenotaalfinal"/>
        </w:rPr>
        <w:endnoteRef/>
      </w:r>
      <w:r>
        <w:t xml:space="preserve"> </w:t>
      </w:r>
      <w:r>
        <w:t>Chiassa, a nord di Arezzo.</w:t>
      </w:r>
    </w:p>
  </w:endnote>
  <w:endnote w:id="4">
    <w:p w14:paraId="4CF5CB6C" w14:textId="08472AA2" w:rsidR="00DA6B86" w:rsidRPr="002C5D7A" w:rsidRDefault="00DA6B86" w:rsidP="00A02D01">
      <w:pPr>
        <w:pStyle w:val="Textonotaalfinal"/>
        <w:rPr>
          <w:lang w:val="es-ES_tradnl"/>
        </w:rPr>
      </w:pPr>
      <w:r>
        <w:rPr>
          <w:rStyle w:val="Refdenotaalfinal"/>
        </w:rPr>
        <w:endnoteRef/>
      </w:r>
      <w:r>
        <w:t xml:space="preserve"> </w:t>
      </w:r>
      <w:r>
        <w:t>Per il ruolo di Oberto nei placiti di questo periodo Nobili 2006, p. 142. Per quel che riguarda la sua attività giudiziaria in Toscana,</w:t>
      </w:r>
      <w:r w:rsidR="001E1566">
        <w:t xml:space="preserve"> si v.</w:t>
      </w:r>
      <w:r>
        <w:t xml:space="preserve"> Manaresi</w:t>
      </w:r>
      <w:r w:rsidR="007A5E27">
        <w:t>,</w:t>
      </w:r>
      <w:r>
        <w:t xml:space="preserve"> n. 152 (964 agosto 9)</w:t>
      </w:r>
      <w:r w:rsidRPr="00FB5DE4">
        <w:t xml:space="preserve"> </w:t>
      </w:r>
      <w:r>
        <w:t xml:space="preserve">– non incluso in questo </w:t>
      </w:r>
      <w:r>
        <w:rPr>
          <w:i/>
        </w:rPr>
        <w:t>corpus</w:t>
      </w:r>
      <w:r>
        <w:t>, nonostante fosse celebrato nella città di Lucca, perché non riguarda destinatari toscani – e Manaresi n. 156 (967 giugno 12).</w:t>
      </w:r>
    </w:p>
  </w:endnote>
  <w:endnote w:id="5">
    <w:p w14:paraId="0D305885" w14:textId="53249C41" w:rsidR="00DA6B86" w:rsidRPr="00F563F7" w:rsidRDefault="00DA6B86">
      <w:pPr>
        <w:pStyle w:val="Textonotaalfinal"/>
        <w:rPr>
          <w:lang w:val="es-ES_tradnl"/>
        </w:rPr>
      </w:pPr>
      <w:r>
        <w:rPr>
          <w:rStyle w:val="Refdenotaalfinal"/>
        </w:rPr>
        <w:t>a</w:t>
      </w:r>
      <w:r>
        <w:t xml:space="preserve"> </w:t>
      </w:r>
      <w:r>
        <w:rPr>
          <w:lang w:val="es-ES_tradnl"/>
        </w:rPr>
        <w:t>In Manaresi “</w:t>
      </w:r>
      <w:r>
        <w:t>missus”.</w:t>
      </w:r>
    </w:p>
  </w:endnote>
  <w:endnote w:id="6">
    <w:p w14:paraId="423B319E" w14:textId="576A05BA" w:rsidR="003B3F38" w:rsidRPr="003B3F38" w:rsidRDefault="003B3F38">
      <w:pPr>
        <w:pStyle w:val="Textonotaalfinal"/>
        <w:rPr>
          <w:lang w:val="es-ES_tradnl"/>
        </w:rPr>
      </w:pPr>
      <w:r>
        <w:rPr>
          <w:rStyle w:val="Refdenotaalfinal"/>
        </w:rPr>
        <w:endnoteRef/>
      </w:r>
      <w:r>
        <w:t xml:space="preserve"> </w:t>
      </w:r>
      <w:r>
        <w:rPr>
          <w:lang w:val="es-ES_tradnl"/>
        </w:rPr>
        <w:t>Viene citato anche in</w:t>
      </w:r>
      <w:r w:rsidR="009F6290">
        <w:rPr>
          <w:lang w:val="es-ES_tradnl"/>
        </w:rPr>
        <w:t xml:space="preserve"> Pasqui, n. 76 (aprile 977).</w:t>
      </w:r>
    </w:p>
  </w:endnote>
  <w:endnote w:id="7">
    <w:p w14:paraId="4C2B23FB" w14:textId="1CAE96A1" w:rsidR="009F6597" w:rsidRPr="009F6597" w:rsidRDefault="009F6597">
      <w:pPr>
        <w:pStyle w:val="Textonotaalfinal"/>
        <w:rPr>
          <w:lang w:val="es-ES_tradnl"/>
        </w:rPr>
      </w:pPr>
      <w:r>
        <w:rPr>
          <w:rStyle w:val="Refdenotaalfinal"/>
        </w:rPr>
        <w:endnoteRef/>
      </w:r>
      <w:r>
        <w:t xml:space="preserve"> </w:t>
      </w:r>
      <w:r w:rsidR="00E47BED">
        <w:t xml:space="preserve">Questo gruppo di </w:t>
      </w:r>
      <w:r w:rsidR="00B26C6E">
        <w:rPr>
          <w:i/>
        </w:rPr>
        <w:t xml:space="preserve">iudices </w:t>
      </w:r>
      <w:r w:rsidR="00B26C6E">
        <w:t xml:space="preserve">in </w:t>
      </w:r>
      <w:r>
        <w:rPr>
          <w:lang w:val="es-ES_tradnl"/>
        </w:rPr>
        <w:t>Radding 2013, pp. 249 e ss.</w:t>
      </w:r>
    </w:p>
  </w:endnote>
  <w:endnote w:id="8">
    <w:p w14:paraId="13D8505F" w14:textId="52274B2B" w:rsidR="00DA6B86" w:rsidRDefault="00DA6B86" w:rsidP="00A02D01">
      <w:pPr>
        <w:pStyle w:val="Textonotaalfinal"/>
      </w:pPr>
      <w:r>
        <w:rPr>
          <w:rStyle w:val="Refdenotaalfinal"/>
        </w:rPr>
        <w:endnoteRef/>
      </w:r>
      <w:r>
        <w:t xml:space="preserve"> </w:t>
      </w:r>
      <w:r w:rsidRPr="00951532">
        <w:t xml:space="preserve">Membri dell’eminente gruppo familiare dei </w:t>
      </w:r>
      <w:r w:rsidRPr="00951532">
        <w:rPr>
          <w:i/>
        </w:rPr>
        <w:t>Walcherii</w:t>
      </w:r>
      <w:r w:rsidRPr="00951532">
        <w:t>, radicati nel Valdarno e nella Vadichiana settentrionale. Fin dagli ultimi decenni dell’XI secolo furo</w:t>
      </w:r>
      <w:r>
        <w:t>no incaricati dell’ufficio vicecomit</w:t>
      </w:r>
      <w:r w:rsidRPr="00951532">
        <w:t>ale</w:t>
      </w:r>
      <w:r>
        <w:t xml:space="preserve"> di Arezzo</w:t>
      </w:r>
      <w:r w:rsidRPr="00951532">
        <w:t>, Delumeau</w:t>
      </w:r>
      <w:r w:rsidRPr="00951532">
        <w:rPr>
          <w:rFonts w:eastAsia="Times New Roman"/>
          <w:color w:val="141413"/>
        </w:rPr>
        <w:t xml:space="preserve"> 2003, pp. 151-171. Per la sto</w:t>
      </w:r>
      <w:r>
        <w:rPr>
          <w:rFonts w:eastAsia="Times New Roman"/>
          <w:color w:val="141413"/>
        </w:rPr>
        <w:t>ria del monastero delle Sante Fi</w:t>
      </w:r>
      <w:r w:rsidRPr="00951532">
        <w:rPr>
          <w:rFonts w:eastAsia="Times New Roman"/>
          <w:color w:val="141413"/>
        </w:rPr>
        <w:t xml:space="preserve">ora e Lucilla e le liti tra questo e la famiglia </w:t>
      </w:r>
      <w:r w:rsidRPr="00951532">
        <w:t xml:space="preserve">dei </w:t>
      </w:r>
      <w:r w:rsidRPr="00951532">
        <w:rPr>
          <w:i/>
        </w:rPr>
        <w:t>Walcherii</w:t>
      </w:r>
      <w:r w:rsidR="007A5E27">
        <w:t>,</w:t>
      </w:r>
      <w:r w:rsidRPr="00951532">
        <w:t xml:space="preserve"> </w:t>
      </w:r>
      <w:r w:rsidRPr="00951532">
        <w:rPr>
          <w:rFonts w:eastAsia="Times New Roman"/>
          <w:color w:val="141413"/>
        </w:rPr>
        <w:t>Tabacco 1970, pp. 69 e ss. e Delumeau 1996, pp. 641 e ss</w:t>
      </w:r>
      <w:r>
        <w:rPr>
          <w:rFonts w:eastAsia="Times New Roman"/>
          <w:color w:val="141413"/>
        </w:rPr>
        <w:t xml:space="preserve"> (con genealogia della famiglia in Delumeau 2006, II, pp. 1422-23)</w:t>
      </w:r>
      <w:r w:rsidRPr="00951532">
        <w:rPr>
          <w:rFonts w:eastAsia="Times New Roman"/>
          <w:color w:val="141413"/>
        </w:rPr>
        <w:t xml:space="preserve">. </w:t>
      </w:r>
      <w:r w:rsidRPr="00951532">
        <w:t>Contrasti</w:t>
      </w:r>
      <w:r>
        <w:t xml:space="preserve"> che </w:t>
      </w:r>
      <w:r w:rsidRPr="00951532">
        <w:t>in</w:t>
      </w:r>
      <w:r>
        <w:t>iziarono con le donazioni</w:t>
      </w:r>
      <w:r w:rsidRPr="00951532">
        <w:t xml:space="preserve"> di Ugo e Lotario in favore del monastero di </w:t>
      </w:r>
      <w:r>
        <w:t xml:space="preserve">terre e </w:t>
      </w:r>
      <w:r w:rsidRPr="00951532">
        <w:t xml:space="preserve">beni posti in località situate nelle vicinanze degli interessi </w:t>
      </w:r>
      <w:r>
        <w:t xml:space="preserve">patrimoniali </w:t>
      </w:r>
      <w:r w:rsidRPr="00951532">
        <w:t>della famiglia. Il conflitto sarebbe continuato, tra placiti e rin</w:t>
      </w:r>
      <w:r w:rsidR="0093575A">
        <w:t>unc</w:t>
      </w:r>
      <w:r>
        <w:t>e, lung</w:t>
      </w:r>
      <w:r w:rsidRPr="00951532">
        <w:t>o tutto l’XI secolo, Delumeau 1985, p. 104.</w:t>
      </w:r>
      <w:r w:rsidRPr="006C69C7">
        <w:rPr>
          <w:rFonts w:eastAsia="Times New Roman"/>
          <w:color w:val="141413"/>
        </w:rPr>
        <w:t xml:space="preserve"> </w:t>
      </w:r>
      <w:r w:rsidRPr="00951532">
        <w:rPr>
          <w:rFonts w:eastAsia="Times New Roman"/>
          <w:color w:val="141413"/>
        </w:rPr>
        <w:t>Nelle carte relative a</w:t>
      </w:r>
      <w:r>
        <w:rPr>
          <w:rFonts w:eastAsia="Times New Roman"/>
          <w:color w:val="141413"/>
        </w:rPr>
        <w:t xml:space="preserve"> queste dispute</w:t>
      </w:r>
      <w:r w:rsidRPr="00951532">
        <w:rPr>
          <w:rFonts w:eastAsia="Times New Roman"/>
          <w:color w:val="141413"/>
        </w:rPr>
        <w:t xml:space="preserve"> </w:t>
      </w:r>
      <w:r>
        <w:rPr>
          <w:rFonts w:eastAsia="Times New Roman"/>
          <w:color w:val="141413"/>
        </w:rPr>
        <w:t xml:space="preserve">della seconda metà del secolo X i membri di questo gruppo </w:t>
      </w:r>
      <w:r w:rsidRPr="00951532">
        <w:rPr>
          <w:rFonts w:eastAsia="Times New Roman"/>
          <w:color w:val="141413"/>
        </w:rPr>
        <w:t xml:space="preserve">compaiono </w:t>
      </w:r>
      <w:r>
        <w:rPr>
          <w:rFonts w:eastAsia="Times New Roman"/>
          <w:color w:val="141413"/>
        </w:rPr>
        <w:t>anche</w:t>
      </w:r>
      <w:r w:rsidRPr="00951532">
        <w:rPr>
          <w:rFonts w:eastAsia="Times New Roman"/>
          <w:color w:val="141413"/>
        </w:rPr>
        <w:t xml:space="preserve"> </w:t>
      </w:r>
      <w:r>
        <w:rPr>
          <w:rFonts w:eastAsia="Times New Roman"/>
          <w:color w:val="141413"/>
        </w:rPr>
        <w:t xml:space="preserve">in Manaresi, II, n. 156, (967 </w:t>
      </w:r>
      <w:bookmarkStart w:id="0" w:name="_GoBack"/>
      <w:bookmarkEnd w:id="0"/>
      <w:r>
        <w:rPr>
          <w:rFonts w:eastAsia="Times New Roman"/>
          <w:color w:val="141413"/>
        </w:rPr>
        <w:t>giugno 12), dove fu presente lo stesso Mainardo; Pasqui</w:t>
      </w:r>
      <w:r w:rsidR="00A62799">
        <w:rPr>
          <w:rFonts w:eastAsia="Times New Roman"/>
          <w:color w:val="141413"/>
        </w:rPr>
        <w:t>,</w:t>
      </w:r>
      <w:r>
        <w:rPr>
          <w:rFonts w:eastAsia="Times New Roman"/>
          <w:color w:val="141413"/>
        </w:rPr>
        <w:t xml:space="preserve"> n. 76, (aprile 977) e Manaresi, II, n. 227 (maggio 996).</w:t>
      </w:r>
    </w:p>
  </w:endnote>
  <w:endnote w:id="9">
    <w:p w14:paraId="7DF3FF2E" w14:textId="5401DE8D" w:rsidR="00DA6B86" w:rsidRPr="00710353" w:rsidRDefault="00DA6B86">
      <w:pPr>
        <w:pStyle w:val="Textonotaalfinal"/>
        <w:rPr>
          <w:lang w:val="es-ES_tradnl"/>
        </w:rPr>
      </w:pPr>
      <w:r>
        <w:rPr>
          <w:rStyle w:val="Refdenotaalfinal"/>
        </w:rPr>
        <w:t>b</w:t>
      </w:r>
      <w:r>
        <w:t xml:space="preserve"> </w:t>
      </w:r>
      <w:r>
        <w:t>In Manaresi “reliqui”.</w:t>
      </w:r>
    </w:p>
  </w:endnote>
  <w:endnote w:id="10">
    <w:p w14:paraId="1D968986" w14:textId="60750043" w:rsidR="00DA6B86" w:rsidRDefault="00DA6B86" w:rsidP="00A02D01">
      <w:pPr>
        <w:pStyle w:val="Textonotaalfinal"/>
      </w:pPr>
      <w:r>
        <w:rPr>
          <w:rStyle w:val="Refdenotaalfinal"/>
        </w:rPr>
        <w:endnoteRef/>
      </w:r>
      <w:r>
        <w:t xml:space="preserve"> </w:t>
      </w:r>
      <w:r>
        <w:t xml:space="preserve">Oltre a questa disputa, il monastero delle sante Fiora e Lucilla fu protagonista di altri giudizi nell’ultimo quarto del X secolo: Manaresi, II, n. 156 (967 giugno 12); Pasqui n. 76 (aprile 977); Pasqui n. 78 (maggio 994) e Manaresi, II, n. 227 (maggio 996). </w:t>
      </w:r>
      <w:r>
        <w:rPr>
          <w:rFonts w:eastAsia="Times New Roman"/>
          <w:color w:val="141413"/>
        </w:rPr>
        <w:t>Per la storia del monastero delle Ss. Fiora e Lucilla e le liti mantenute con membri dell’élite sociale aretina Tabacco 1970, pp. 57-87 (p. 69 e ss.) e Delumeau 1996, pp. 641 e ss.</w:t>
      </w:r>
    </w:p>
  </w:endnote>
  <w:endnote w:id="11">
    <w:p w14:paraId="4931184B" w14:textId="6C84B1D0" w:rsidR="00DA6B86" w:rsidRPr="00A54C68" w:rsidRDefault="00DA6B86">
      <w:pPr>
        <w:pStyle w:val="Textonotaalfinal"/>
        <w:rPr>
          <w:lang w:val="es-ES_tradnl"/>
        </w:rPr>
      </w:pPr>
      <w:r>
        <w:rPr>
          <w:rStyle w:val="Refdenotaalfinal"/>
        </w:rPr>
        <w:t>c</w:t>
      </w:r>
      <w:r>
        <w:t xml:space="preserve"> </w:t>
      </w:r>
      <w:r>
        <w:rPr>
          <w:lang w:val="es-ES_tradnl"/>
        </w:rPr>
        <w:t>In Manaresi “</w:t>
      </w:r>
      <w:r>
        <w:t>manifestus”.</w:t>
      </w:r>
    </w:p>
  </w:endnote>
  <w:endnote w:id="12">
    <w:p w14:paraId="5CE5B272" w14:textId="573DBFD7" w:rsidR="00DA6B86" w:rsidRPr="00030045" w:rsidRDefault="00DA6B86">
      <w:pPr>
        <w:pStyle w:val="Textonotaalfinal"/>
        <w:rPr>
          <w:lang w:val="es-ES_tradnl"/>
        </w:rPr>
      </w:pPr>
      <w:r>
        <w:rPr>
          <w:rStyle w:val="Refdenotaalfinal"/>
        </w:rPr>
        <w:t>d</w:t>
      </w:r>
      <w:r>
        <w:t xml:space="preserve"> </w:t>
      </w:r>
      <w:r>
        <w:rPr>
          <w:lang w:val="es-ES_tradnl"/>
        </w:rPr>
        <w:t>In Manaresi “</w:t>
      </w:r>
      <w:r>
        <w:t>casa ipsa”.</w:t>
      </w:r>
    </w:p>
  </w:endnote>
  <w:endnote w:id="13">
    <w:p w14:paraId="319BB88C" w14:textId="11F6844B" w:rsidR="00DA6B86" w:rsidRPr="00FF3250" w:rsidRDefault="00DA6B86">
      <w:pPr>
        <w:pStyle w:val="Textonotaalfinal"/>
        <w:rPr>
          <w:lang w:val="es-ES_tradnl"/>
        </w:rPr>
      </w:pPr>
      <w:r>
        <w:rPr>
          <w:rStyle w:val="Refdenotaalfinal"/>
        </w:rPr>
        <w:t>e</w:t>
      </w:r>
      <w:r>
        <w:t xml:space="preserve"> </w:t>
      </w:r>
      <w:r>
        <w:rPr>
          <w:lang w:val="es-ES_tradnl"/>
        </w:rPr>
        <w:t>In Manaresi manca</w:t>
      </w:r>
    </w:p>
  </w:endnote>
  <w:endnote w:id="14">
    <w:p w14:paraId="0074066B" w14:textId="709339ED" w:rsidR="00DA6B86" w:rsidRPr="00AA7B6F" w:rsidRDefault="00DA6B86" w:rsidP="00A02D01">
      <w:pPr>
        <w:pStyle w:val="Textonotaalfinal"/>
        <w:rPr>
          <w:lang w:val="es-ES_tradnl"/>
        </w:rPr>
      </w:pPr>
      <w:r>
        <w:rPr>
          <w:rStyle w:val="Refdenotaalfinal"/>
        </w:rPr>
        <w:t>f</w:t>
      </w:r>
      <w:r>
        <w:t xml:space="preserve"> </w:t>
      </w:r>
      <w:r>
        <w:rPr>
          <w:lang w:val="es-ES_tradnl"/>
        </w:rPr>
        <w:t>In Manaresi “</w:t>
      </w:r>
      <w:r>
        <w:t xml:space="preserve">scripsi”, ma cfr. </w:t>
      </w:r>
      <w:r w:rsidR="00A62799">
        <w:t>p. 112</w:t>
      </w:r>
      <w:r w:rsidR="00A62799">
        <w:t xml:space="preserve">, nota </w:t>
      </w:r>
      <w:r w:rsidR="00A62799" w:rsidRPr="00A62799">
        <w:rPr>
          <w:i/>
        </w:rPr>
        <w:t>f</w:t>
      </w:r>
      <w:r>
        <w:t>.</w:t>
      </w:r>
    </w:p>
  </w:endnote>
  <w:endnote w:id="15">
    <w:p w14:paraId="320F6763" w14:textId="7FC5C619" w:rsidR="00DA6B86" w:rsidRPr="000146A0" w:rsidRDefault="00DA6B86">
      <w:pPr>
        <w:pStyle w:val="Textonotaalfinal"/>
        <w:rPr>
          <w:lang w:val="es-ES_tradnl"/>
        </w:rPr>
      </w:pPr>
      <w:r>
        <w:rPr>
          <w:rStyle w:val="Refdenotaalfinal"/>
        </w:rPr>
        <w:t>g</w:t>
      </w:r>
      <w:r>
        <w:t xml:space="preserve"> </w:t>
      </w:r>
      <w:r>
        <w:rPr>
          <w:lang w:val="es-ES_tradnl"/>
        </w:rPr>
        <w:t>In Manaresi “</w:t>
      </w:r>
      <w:r>
        <w:t>debeo”.</w:t>
      </w:r>
    </w:p>
  </w:endnote>
  <w:endnote w:id="16">
    <w:p w14:paraId="0D134A76" w14:textId="3F5A4889" w:rsidR="000C6656" w:rsidRPr="000C6656" w:rsidRDefault="000C6656">
      <w:pPr>
        <w:pStyle w:val="Textonotaalfinal"/>
        <w:rPr>
          <w:lang w:val="es-ES_tradnl"/>
        </w:rPr>
      </w:pPr>
      <w:r>
        <w:rPr>
          <w:rStyle w:val="Refdenotaalfinal"/>
        </w:rPr>
        <w:t>h</w:t>
      </w:r>
      <w:r>
        <w:t xml:space="preserve"> </w:t>
      </w:r>
      <w:r>
        <w:rPr>
          <w:lang w:val="es-ES_tradnl"/>
        </w:rPr>
        <w:t>In Manaresi “</w:t>
      </w:r>
      <w:r>
        <w:t>ipsi”.</w:t>
      </w:r>
    </w:p>
  </w:endnote>
  <w:endnote w:id="17">
    <w:p w14:paraId="33C0EE00" w14:textId="49A82E0E" w:rsidR="00DA6B86" w:rsidRPr="002E0320" w:rsidRDefault="00DA6B86">
      <w:pPr>
        <w:pStyle w:val="Textonotaalfinal"/>
        <w:rPr>
          <w:lang w:val="es-ES_tradnl"/>
        </w:rPr>
      </w:pPr>
      <w:r>
        <w:rPr>
          <w:rStyle w:val="Refdenotaalfinal"/>
        </w:rPr>
        <w:endnoteRef/>
      </w:r>
      <w:r>
        <w:t xml:space="preserve"> </w:t>
      </w:r>
      <w:r>
        <w:rPr>
          <w:lang w:val="es-ES_tradnl"/>
        </w:rPr>
        <w:t>Per una sua ipotetica identificazione Puglia 2003, p. 152.</w:t>
      </w:r>
      <w:r w:rsidR="0092767D">
        <w:rPr>
          <w:lang w:val="es-ES_tradnl"/>
        </w:rPr>
        <w:t xml:space="preserve"> Alla</w:t>
      </w:r>
      <w:r w:rsidR="00490CF3">
        <w:rPr>
          <w:lang w:val="es-ES_tradnl"/>
        </w:rPr>
        <w:t xml:space="preserve"> fine seguono note tachigrafiche.</w:t>
      </w:r>
    </w:p>
  </w:endnote>
  <w:endnote w:id="18">
    <w:p w14:paraId="60951208" w14:textId="6D2F4564" w:rsidR="001E4EEC" w:rsidRDefault="001E4EEC" w:rsidP="00A02D01">
      <w:pPr>
        <w:pStyle w:val="Textonotaalfinal"/>
      </w:pPr>
      <w:r>
        <w:rPr>
          <w:rStyle w:val="Refdenotaalfinal"/>
        </w:rPr>
        <w:t>i</w:t>
      </w:r>
      <w:r>
        <w:t xml:space="preserve"> </w:t>
      </w:r>
      <w:r>
        <w:t>In Manaresi “interfui”. Segue in note tachigrafiche Ben-zo iu-dex.</w:t>
      </w:r>
    </w:p>
  </w:endnote>
  <w:endnote w:id="19">
    <w:p w14:paraId="1FFF6E1C" w14:textId="73D71719" w:rsidR="001E4EEC" w:rsidRDefault="001E4EEC" w:rsidP="00A02D01">
      <w:pPr>
        <w:pStyle w:val="Textonotaalfinal"/>
      </w:pPr>
      <w:r>
        <w:rPr>
          <w:rStyle w:val="Refdenotaalfinal"/>
        </w:rPr>
        <w:t>j</w:t>
      </w:r>
      <w:r>
        <w:t xml:space="preserve"> </w:t>
      </w:r>
      <w:r>
        <w:t>Segue in note tachigrafiche Gise-pr-an-dus.</w:t>
      </w:r>
    </w:p>
  </w:endnote>
  <w:endnote w:id="20">
    <w:p w14:paraId="719F7BCE" w14:textId="31D7B361" w:rsidR="001E4EEC" w:rsidRDefault="001E4EEC" w:rsidP="00A02D01">
      <w:pPr>
        <w:pStyle w:val="Textonotaalfinal"/>
      </w:pPr>
      <w:r>
        <w:rPr>
          <w:rStyle w:val="Refdenotaalfinal"/>
        </w:rPr>
        <w:t>k</w:t>
      </w:r>
      <w:r>
        <w:t xml:space="preserve"> </w:t>
      </w:r>
      <w:r>
        <w:t>Segue in note tachigrafiche Eb-bo iu-dex.</w:t>
      </w:r>
    </w:p>
  </w:endnote>
  <w:endnote w:id="21">
    <w:p w14:paraId="5D5F1B4D" w14:textId="50E79137" w:rsidR="001E4EEC" w:rsidRDefault="001E4EEC" w:rsidP="00A02D01">
      <w:pPr>
        <w:pStyle w:val="Textonotaalfinal"/>
      </w:pPr>
      <w:r>
        <w:rPr>
          <w:rStyle w:val="Refdenotaalfinal"/>
        </w:rPr>
        <w:t>l</w:t>
      </w:r>
      <w:r>
        <w:t xml:space="preserve"> </w:t>
      </w:r>
      <w:r>
        <w:t>Segue in note tachigrafiche Bo-ni-zo.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24559" w14:textId="77777777" w:rsidR="00DA6B86" w:rsidRDefault="00DA6B86" w:rsidP="006A68F3">
      <w:r>
        <w:separator/>
      </w:r>
    </w:p>
  </w:footnote>
  <w:footnote w:type="continuationSeparator" w:id="0">
    <w:p w14:paraId="4587928E" w14:textId="77777777" w:rsidR="00DA6B86" w:rsidRDefault="00DA6B86" w:rsidP="006A68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8F3"/>
    <w:rsid w:val="0001369F"/>
    <w:rsid w:val="000146A0"/>
    <w:rsid w:val="000177CB"/>
    <w:rsid w:val="00025FAA"/>
    <w:rsid w:val="000265E7"/>
    <w:rsid w:val="00030045"/>
    <w:rsid w:val="000564A9"/>
    <w:rsid w:val="000668AD"/>
    <w:rsid w:val="00084859"/>
    <w:rsid w:val="000C186D"/>
    <w:rsid w:val="000C3CA6"/>
    <w:rsid w:val="000C6656"/>
    <w:rsid w:val="000D559D"/>
    <w:rsid w:val="000E3AA9"/>
    <w:rsid w:val="000E461B"/>
    <w:rsid w:val="000E7ED0"/>
    <w:rsid w:val="00117491"/>
    <w:rsid w:val="001358C0"/>
    <w:rsid w:val="00145AB5"/>
    <w:rsid w:val="0016522B"/>
    <w:rsid w:val="0017066F"/>
    <w:rsid w:val="0019175A"/>
    <w:rsid w:val="00194B2B"/>
    <w:rsid w:val="001A1011"/>
    <w:rsid w:val="001C12F0"/>
    <w:rsid w:val="001D3767"/>
    <w:rsid w:val="001D7671"/>
    <w:rsid w:val="001E1566"/>
    <w:rsid w:val="001E4EEC"/>
    <w:rsid w:val="002003F4"/>
    <w:rsid w:val="0021580C"/>
    <w:rsid w:val="00235B0F"/>
    <w:rsid w:val="00247BAF"/>
    <w:rsid w:val="00255B8E"/>
    <w:rsid w:val="00283C24"/>
    <w:rsid w:val="002A6C08"/>
    <w:rsid w:val="002C4076"/>
    <w:rsid w:val="002C5D7A"/>
    <w:rsid w:val="002D49DC"/>
    <w:rsid w:val="002D54BE"/>
    <w:rsid w:val="002E0320"/>
    <w:rsid w:val="0030182D"/>
    <w:rsid w:val="00302818"/>
    <w:rsid w:val="00311500"/>
    <w:rsid w:val="0033118F"/>
    <w:rsid w:val="00334906"/>
    <w:rsid w:val="00344CFB"/>
    <w:rsid w:val="00355B79"/>
    <w:rsid w:val="003576A1"/>
    <w:rsid w:val="003659E6"/>
    <w:rsid w:val="00382FF1"/>
    <w:rsid w:val="00391FF3"/>
    <w:rsid w:val="003A47DF"/>
    <w:rsid w:val="003B3F38"/>
    <w:rsid w:val="003D317D"/>
    <w:rsid w:val="003F4C58"/>
    <w:rsid w:val="00425130"/>
    <w:rsid w:val="00431544"/>
    <w:rsid w:val="004468E5"/>
    <w:rsid w:val="00466271"/>
    <w:rsid w:val="00490CF3"/>
    <w:rsid w:val="004960C3"/>
    <w:rsid w:val="004B7C34"/>
    <w:rsid w:val="004C26CA"/>
    <w:rsid w:val="004E34E1"/>
    <w:rsid w:val="004E65C5"/>
    <w:rsid w:val="005040FA"/>
    <w:rsid w:val="00540675"/>
    <w:rsid w:val="005A6765"/>
    <w:rsid w:val="005B496F"/>
    <w:rsid w:val="005C2F63"/>
    <w:rsid w:val="005F3111"/>
    <w:rsid w:val="005F5430"/>
    <w:rsid w:val="005F5B8E"/>
    <w:rsid w:val="005F7E65"/>
    <w:rsid w:val="00604927"/>
    <w:rsid w:val="00614610"/>
    <w:rsid w:val="0063038A"/>
    <w:rsid w:val="006706C9"/>
    <w:rsid w:val="006778E6"/>
    <w:rsid w:val="00691B86"/>
    <w:rsid w:val="00693AF0"/>
    <w:rsid w:val="006A4513"/>
    <w:rsid w:val="006A68F3"/>
    <w:rsid w:val="006B3531"/>
    <w:rsid w:val="006C4007"/>
    <w:rsid w:val="006D3D94"/>
    <w:rsid w:val="006D4544"/>
    <w:rsid w:val="006E31FB"/>
    <w:rsid w:val="006E3B57"/>
    <w:rsid w:val="006E6D7E"/>
    <w:rsid w:val="0070558C"/>
    <w:rsid w:val="007101FE"/>
    <w:rsid w:val="00710353"/>
    <w:rsid w:val="007220C6"/>
    <w:rsid w:val="0073340D"/>
    <w:rsid w:val="00774134"/>
    <w:rsid w:val="007959BA"/>
    <w:rsid w:val="007A3527"/>
    <w:rsid w:val="007A5E27"/>
    <w:rsid w:val="007A765B"/>
    <w:rsid w:val="00842C7E"/>
    <w:rsid w:val="00852F5D"/>
    <w:rsid w:val="008804E1"/>
    <w:rsid w:val="0089575D"/>
    <w:rsid w:val="008A278D"/>
    <w:rsid w:val="008B50D8"/>
    <w:rsid w:val="008C36AA"/>
    <w:rsid w:val="008C3E21"/>
    <w:rsid w:val="008D4DED"/>
    <w:rsid w:val="008F1EE6"/>
    <w:rsid w:val="008F5D22"/>
    <w:rsid w:val="008F763C"/>
    <w:rsid w:val="00910226"/>
    <w:rsid w:val="0092767D"/>
    <w:rsid w:val="0093575A"/>
    <w:rsid w:val="0095259B"/>
    <w:rsid w:val="009674C8"/>
    <w:rsid w:val="009A34D3"/>
    <w:rsid w:val="009D6CDA"/>
    <w:rsid w:val="009F6290"/>
    <w:rsid w:val="009F6597"/>
    <w:rsid w:val="00A02D01"/>
    <w:rsid w:val="00A0484C"/>
    <w:rsid w:val="00A21FA9"/>
    <w:rsid w:val="00A23E5F"/>
    <w:rsid w:val="00A54C68"/>
    <w:rsid w:val="00A62799"/>
    <w:rsid w:val="00A65764"/>
    <w:rsid w:val="00A72A79"/>
    <w:rsid w:val="00A87A9E"/>
    <w:rsid w:val="00A9672B"/>
    <w:rsid w:val="00AA7B6F"/>
    <w:rsid w:val="00AD293D"/>
    <w:rsid w:val="00B161C1"/>
    <w:rsid w:val="00B26C6E"/>
    <w:rsid w:val="00B51FE1"/>
    <w:rsid w:val="00B62966"/>
    <w:rsid w:val="00BA4B3E"/>
    <w:rsid w:val="00BA6994"/>
    <w:rsid w:val="00BB258D"/>
    <w:rsid w:val="00BC6D5A"/>
    <w:rsid w:val="00BD684E"/>
    <w:rsid w:val="00BE35AA"/>
    <w:rsid w:val="00BF42F7"/>
    <w:rsid w:val="00BF5E1D"/>
    <w:rsid w:val="00C14B3C"/>
    <w:rsid w:val="00C16D63"/>
    <w:rsid w:val="00C20628"/>
    <w:rsid w:val="00C24E2C"/>
    <w:rsid w:val="00C25980"/>
    <w:rsid w:val="00C30147"/>
    <w:rsid w:val="00C33033"/>
    <w:rsid w:val="00C35888"/>
    <w:rsid w:val="00C574A2"/>
    <w:rsid w:val="00C639A5"/>
    <w:rsid w:val="00C73D0E"/>
    <w:rsid w:val="00C80E59"/>
    <w:rsid w:val="00C9222E"/>
    <w:rsid w:val="00CA0B14"/>
    <w:rsid w:val="00CC5DDC"/>
    <w:rsid w:val="00CD2AD0"/>
    <w:rsid w:val="00CD5DE7"/>
    <w:rsid w:val="00D12E4C"/>
    <w:rsid w:val="00D15E0E"/>
    <w:rsid w:val="00D26E04"/>
    <w:rsid w:val="00D4779C"/>
    <w:rsid w:val="00D56064"/>
    <w:rsid w:val="00D57CBC"/>
    <w:rsid w:val="00D660B4"/>
    <w:rsid w:val="00D73AEC"/>
    <w:rsid w:val="00D740C0"/>
    <w:rsid w:val="00D954CA"/>
    <w:rsid w:val="00DA6B86"/>
    <w:rsid w:val="00DA6C2A"/>
    <w:rsid w:val="00DC10F7"/>
    <w:rsid w:val="00DC45AD"/>
    <w:rsid w:val="00DD738B"/>
    <w:rsid w:val="00DE0C1C"/>
    <w:rsid w:val="00DF02D9"/>
    <w:rsid w:val="00DF3EAC"/>
    <w:rsid w:val="00E0025E"/>
    <w:rsid w:val="00E05564"/>
    <w:rsid w:val="00E250BA"/>
    <w:rsid w:val="00E43EBA"/>
    <w:rsid w:val="00E47BED"/>
    <w:rsid w:val="00E64C0F"/>
    <w:rsid w:val="00E65C52"/>
    <w:rsid w:val="00E6722E"/>
    <w:rsid w:val="00E91DE5"/>
    <w:rsid w:val="00E92255"/>
    <w:rsid w:val="00EF1767"/>
    <w:rsid w:val="00EF5C97"/>
    <w:rsid w:val="00F37860"/>
    <w:rsid w:val="00F532CA"/>
    <w:rsid w:val="00F563F7"/>
    <w:rsid w:val="00F6692B"/>
    <w:rsid w:val="00F7313C"/>
    <w:rsid w:val="00F732D9"/>
    <w:rsid w:val="00F75342"/>
    <w:rsid w:val="00FA4EE0"/>
    <w:rsid w:val="00FB5DE4"/>
    <w:rsid w:val="00FC12B0"/>
    <w:rsid w:val="00FF3250"/>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1630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8F3"/>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6A68F3"/>
    <w:pPr>
      <w:jc w:val="both"/>
    </w:pPr>
  </w:style>
  <w:style w:type="character" w:customStyle="1" w:styleId="TextodecuerpoCar">
    <w:name w:val="Texto de cuerpo Car"/>
    <w:basedOn w:val="Fuentedeprrafopredeter"/>
    <w:link w:val="Textodecuerpo"/>
    <w:rsid w:val="006A68F3"/>
    <w:rPr>
      <w:rFonts w:ascii="Times" w:eastAsia="Times" w:hAnsi="Times" w:cs="Times New Roman"/>
      <w:noProof/>
      <w:szCs w:val="20"/>
    </w:rPr>
  </w:style>
  <w:style w:type="paragraph" w:styleId="Textonotaalfinal">
    <w:name w:val="endnote text"/>
    <w:basedOn w:val="Normal"/>
    <w:link w:val="TextonotaalfinalCar"/>
    <w:autoRedefine/>
    <w:rsid w:val="00A02D01"/>
    <w:pPr>
      <w:jc w:val="both"/>
    </w:pPr>
    <w:rPr>
      <w:rFonts w:ascii="Times New Roman" w:hAnsi="Times New Roman"/>
      <w:sz w:val="20"/>
    </w:rPr>
  </w:style>
  <w:style w:type="character" w:customStyle="1" w:styleId="TextonotaalfinalCar">
    <w:name w:val="Texto nota al final Car"/>
    <w:basedOn w:val="Fuentedeprrafopredeter"/>
    <w:link w:val="Textonotaalfinal"/>
    <w:rsid w:val="00A02D01"/>
    <w:rPr>
      <w:rFonts w:ascii="Times New Roman" w:eastAsia="Times" w:hAnsi="Times New Roman" w:cs="Times New Roman"/>
      <w:noProof/>
      <w:sz w:val="20"/>
      <w:szCs w:val="20"/>
    </w:rPr>
  </w:style>
  <w:style w:type="character" w:styleId="Refdenotaalfinal">
    <w:name w:val="endnote reference"/>
    <w:rsid w:val="006A68F3"/>
    <w:rPr>
      <w:vertAlign w:val="superscript"/>
    </w:rPr>
  </w:style>
  <w:style w:type="paragraph" w:styleId="Textonotapie">
    <w:name w:val="footnote text"/>
    <w:basedOn w:val="Normal"/>
    <w:link w:val="TextonotapieCar"/>
    <w:uiPriority w:val="99"/>
    <w:unhideWhenUsed/>
    <w:rsid w:val="00BA6994"/>
    <w:rPr>
      <w:szCs w:val="24"/>
    </w:rPr>
  </w:style>
  <w:style w:type="character" w:customStyle="1" w:styleId="TextonotapieCar">
    <w:name w:val="Texto nota pie Car"/>
    <w:basedOn w:val="Fuentedeprrafopredeter"/>
    <w:link w:val="Textonotapie"/>
    <w:uiPriority w:val="99"/>
    <w:rsid w:val="00BA6994"/>
    <w:rPr>
      <w:rFonts w:ascii="Times" w:eastAsia="Times" w:hAnsi="Times" w:cs="Times New Roman"/>
      <w:noProof/>
    </w:rPr>
  </w:style>
  <w:style w:type="character" w:styleId="Refdenotaalpie">
    <w:name w:val="footnote reference"/>
    <w:basedOn w:val="Fuentedeprrafopredeter"/>
    <w:uiPriority w:val="99"/>
    <w:unhideWhenUsed/>
    <w:rsid w:val="00BA699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8F3"/>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6A68F3"/>
    <w:pPr>
      <w:jc w:val="both"/>
    </w:pPr>
  </w:style>
  <w:style w:type="character" w:customStyle="1" w:styleId="TextodecuerpoCar">
    <w:name w:val="Texto de cuerpo Car"/>
    <w:basedOn w:val="Fuentedeprrafopredeter"/>
    <w:link w:val="Textodecuerpo"/>
    <w:rsid w:val="006A68F3"/>
    <w:rPr>
      <w:rFonts w:ascii="Times" w:eastAsia="Times" w:hAnsi="Times" w:cs="Times New Roman"/>
      <w:noProof/>
      <w:szCs w:val="20"/>
    </w:rPr>
  </w:style>
  <w:style w:type="paragraph" w:styleId="Textonotaalfinal">
    <w:name w:val="endnote text"/>
    <w:basedOn w:val="Normal"/>
    <w:link w:val="TextonotaalfinalCar"/>
    <w:autoRedefine/>
    <w:rsid w:val="00A02D01"/>
    <w:pPr>
      <w:jc w:val="both"/>
    </w:pPr>
    <w:rPr>
      <w:rFonts w:ascii="Times New Roman" w:hAnsi="Times New Roman"/>
      <w:sz w:val="20"/>
    </w:rPr>
  </w:style>
  <w:style w:type="character" w:customStyle="1" w:styleId="TextonotaalfinalCar">
    <w:name w:val="Texto nota al final Car"/>
    <w:basedOn w:val="Fuentedeprrafopredeter"/>
    <w:link w:val="Textonotaalfinal"/>
    <w:rsid w:val="00A02D01"/>
    <w:rPr>
      <w:rFonts w:ascii="Times New Roman" w:eastAsia="Times" w:hAnsi="Times New Roman" w:cs="Times New Roman"/>
      <w:noProof/>
      <w:sz w:val="20"/>
      <w:szCs w:val="20"/>
    </w:rPr>
  </w:style>
  <w:style w:type="character" w:styleId="Refdenotaalfinal">
    <w:name w:val="endnote reference"/>
    <w:rsid w:val="006A68F3"/>
    <w:rPr>
      <w:vertAlign w:val="superscript"/>
    </w:rPr>
  </w:style>
  <w:style w:type="paragraph" w:styleId="Textonotapie">
    <w:name w:val="footnote text"/>
    <w:basedOn w:val="Normal"/>
    <w:link w:val="TextonotapieCar"/>
    <w:uiPriority w:val="99"/>
    <w:unhideWhenUsed/>
    <w:rsid w:val="00BA6994"/>
    <w:rPr>
      <w:szCs w:val="24"/>
    </w:rPr>
  </w:style>
  <w:style w:type="character" w:customStyle="1" w:styleId="TextonotapieCar">
    <w:name w:val="Texto nota pie Car"/>
    <w:basedOn w:val="Fuentedeprrafopredeter"/>
    <w:link w:val="Textonotapie"/>
    <w:uiPriority w:val="99"/>
    <w:rsid w:val="00BA6994"/>
    <w:rPr>
      <w:rFonts w:ascii="Times" w:eastAsia="Times" w:hAnsi="Times" w:cs="Times New Roman"/>
      <w:noProof/>
    </w:rPr>
  </w:style>
  <w:style w:type="character" w:styleId="Refdenotaalpie">
    <w:name w:val="footnote reference"/>
    <w:basedOn w:val="Fuentedeprrafopredeter"/>
    <w:uiPriority w:val="99"/>
    <w:unhideWhenUsed/>
    <w:rsid w:val="00BA69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1234</Words>
  <Characters>6792</Characters>
  <Application>Microsoft Macintosh Word</Application>
  <DocSecurity>0</DocSecurity>
  <Lines>56</Lines>
  <Paragraphs>16</Paragraphs>
  <ScaleCrop>false</ScaleCrop>
  <Company>casita</Company>
  <LinksUpToDate>false</LinksUpToDate>
  <CharactersWithSpaces>8010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267</cp:revision>
  <dcterms:created xsi:type="dcterms:W3CDTF">2015-11-30T10:23:00Z</dcterms:created>
  <dcterms:modified xsi:type="dcterms:W3CDTF">2015-12-22T10:22:00Z</dcterms:modified>
</cp:coreProperties>
</file>