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3C0D36" w14:textId="170E8813" w:rsidR="00D40AAD" w:rsidRDefault="00A03C61" w:rsidP="00651104">
      <w:pPr>
        <w:ind w:left="708" w:hanging="708"/>
        <w:jc w:val="center"/>
        <w:rPr>
          <w:rFonts w:ascii="Times New Roman" w:hAnsi="Times New Roman"/>
        </w:rPr>
      </w:pPr>
      <w:r>
        <w:rPr>
          <w:rFonts w:ascii="Times New Roman" w:hAnsi="Times New Roman"/>
        </w:rPr>
        <w:t>915 novembre 10, Lucca</w:t>
      </w:r>
      <w:r w:rsidR="001E1BD1">
        <w:rPr>
          <w:rStyle w:val="Refdenotaalfinal"/>
          <w:rFonts w:ascii="Times New Roman" w:hAnsi="Times New Roman"/>
        </w:rPr>
        <w:endnoteReference w:id="1"/>
      </w:r>
    </w:p>
    <w:p w14:paraId="32D3D518" w14:textId="77777777" w:rsidR="00D40AAD" w:rsidRDefault="00D40AAD" w:rsidP="00D40AAD">
      <w:pPr>
        <w:jc w:val="both"/>
        <w:rPr>
          <w:rFonts w:ascii="Times New Roman" w:hAnsi="Times New Roman"/>
        </w:rPr>
      </w:pPr>
    </w:p>
    <w:p w14:paraId="03A2C9AC" w14:textId="09EEA26A" w:rsidR="00D40AAD" w:rsidRDefault="00D40AAD" w:rsidP="00D40AAD">
      <w:pPr>
        <w:jc w:val="both"/>
        <w:rPr>
          <w:rFonts w:ascii="Times New Roman" w:hAnsi="Times New Roman"/>
        </w:rPr>
      </w:pPr>
      <w:r>
        <w:rPr>
          <w:rFonts w:ascii="Times New Roman" w:hAnsi="Times New Roman"/>
        </w:rPr>
        <w:t>Nel</w:t>
      </w:r>
      <w:r w:rsidR="006B77A8">
        <w:rPr>
          <w:rFonts w:ascii="Times New Roman" w:hAnsi="Times New Roman"/>
        </w:rPr>
        <w:t xml:space="preserve"> giudizio presieduto da Odelricus</w:t>
      </w:r>
      <w:r w:rsidR="00D4712F">
        <w:rPr>
          <w:rFonts w:ascii="Times New Roman" w:hAnsi="Times New Roman"/>
        </w:rPr>
        <w:t>, vasso e messo di re Berengar</w:t>
      </w:r>
      <w:r w:rsidR="00CD3E9B">
        <w:rPr>
          <w:rFonts w:ascii="Times New Roman" w:hAnsi="Times New Roman"/>
        </w:rPr>
        <w:t>i</w:t>
      </w:r>
      <w:r w:rsidR="00D4712F">
        <w:rPr>
          <w:rFonts w:ascii="Times New Roman" w:hAnsi="Times New Roman"/>
        </w:rPr>
        <w:t>us</w:t>
      </w:r>
      <w:r w:rsidR="00B321C2">
        <w:rPr>
          <w:rFonts w:ascii="Times New Roman" w:hAnsi="Times New Roman"/>
        </w:rPr>
        <w:t>, Petrus</w:t>
      </w:r>
      <w:r w:rsidR="00413909">
        <w:rPr>
          <w:rFonts w:ascii="Times New Roman" w:hAnsi="Times New Roman"/>
        </w:rPr>
        <w:t>,</w:t>
      </w:r>
      <w:r w:rsidR="00CD3E9B">
        <w:rPr>
          <w:rFonts w:ascii="Times New Roman" w:hAnsi="Times New Roman"/>
        </w:rPr>
        <w:t xml:space="preserve"> vescovo di Lucca</w:t>
      </w:r>
      <w:r w:rsidR="00413909">
        <w:rPr>
          <w:rFonts w:ascii="Times New Roman" w:hAnsi="Times New Roman"/>
        </w:rPr>
        <w:t>,</w:t>
      </w:r>
      <w:r w:rsidR="00CD3E9B">
        <w:rPr>
          <w:rFonts w:ascii="Times New Roman" w:hAnsi="Times New Roman"/>
        </w:rPr>
        <w:t xml:space="preserve"> insieme con</w:t>
      </w:r>
      <w:r w:rsidR="00E40873">
        <w:rPr>
          <w:rFonts w:ascii="Times New Roman" w:hAnsi="Times New Roman"/>
        </w:rPr>
        <w:t xml:space="preserve"> Petrus</w:t>
      </w:r>
      <w:r w:rsidR="007F7B43">
        <w:rPr>
          <w:rFonts w:ascii="Times New Roman" w:hAnsi="Times New Roman"/>
        </w:rPr>
        <w:t>,</w:t>
      </w:r>
      <w:r>
        <w:rPr>
          <w:rFonts w:ascii="Times New Roman" w:hAnsi="Times New Roman"/>
        </w:rPr>
        <w:t xml:space="preserve"> scabino </w:t>
      </w:r>
      <w:r w:rsidR="00CD3E9B">
        <w:rPr>
          <w:rFonts w:ascii="Times New Roman" w:hAnsi="Times New Roman"/>
        </w:rPr>
        <w:t>e avvocato de</w:t>
      </w:r>
      <w:r>
        <w:rPr>
          <w:rFonts w:ascii="Times New Roman" w:hAnsi="Times New Roman"/>
        </w:rPr>
        <w:t>l</w:t>
      </w:r>
      <w:r w:rsidR="00E15849">
        <w:rPr>
          <w:rFonts w:ascii="Times New Roman" w:hAnsi="Times New Roman"/>
        </w:rPr>
        <w:t>l’episcopio e della chiesa di San</w:t>
      </w:r>
      <w:r>
        <w:rPr>
          <w:rFonts w:ascii="Times New Roman" w:hAnsi="Times New Roman"/>
        </w:rPr>
        <w:t xml:space="preserve"> Silvestro, viene condannato a </w:t>
      </w:r>
      <w:r w:rsidR="00A77B56">
        <w:rPr>
          <w:rFonts w:ascii="Times New Roman" w:hAnsi="Times New Roman"/>
        </w:rPr>
        <w:t>restituire ad Adalbertus</w:t>
      </w:r>
      <w:r>
        <w:rPr>
          <w:rFonts w:ascii="Times New Roman" w:hAnsi="Times New Roman"/>
        </w:rPr>
        <w:t>, avvocato dell’episcopio di Lodi e dell’abbazia di Savignone</w:t>
      </w:r>
      <w:r w:rsidR="003D488F">
        <w:rPr>
          <w:rFonts w:ascii="Times New Roman" w:hAnsi="Times New Roman"/>
        </w:rPr>
        <w:t>, di</w:t>
      </w:r>
      <w:r w:rsidR="00F87B59">
        <w:rPr>
          <w:rFonts w:ascii="Times New Roman" w:hAnsi="Times New Roman"/>
        </w:rPr>
        <w:t xml:space="preserve"> sua dipendenza, l’investitura </w:t>
      </w:r>
      <w:r w:rsidRPr="00F87B59">
        <w:rPr>
          <w:rFonts w:ascii="Times New Roman" w:hAnsi="Times New Roman"/>
          <w:i/>
        </w:rPr>
        <w:t xml:space="preserve">salva </w:t>
      </w:r>
      <w:r w:rsidR="00F87B59" w:rsidRPr="00F87B59">
        <w:rPr>
          <w:rFonts w:ascii="Times New Roman" w:hAnsi="Times New Roman"/>
          <w:i/>
        </w:rPr>
        <w:t>querela</w:t>
      </w:r>
      <w:r w:rsidR="00C85D71">
        <w:rPr>
          <w:rFonts w:ascii="Times New Roman" w:hAnsi="Times New Roman"/>
        </w:rPr>
        <w:t xml:space="preserve"> della chiesa di San</w:t>
      </w:r>
      <w:r w:rsidR="007238C2">
        <w:rPr>
          <w:rFonts w:ascii="Times New Roman" w:hAnsi="Times New Roman"/>
        </w:rPr>
        <w:t>t’</w:t>
      </w:r>
      <w:r>
        <w:rPr>
          <w:rFonts w:ascii="Times New Roman" w:hAnsi="Times New Roman"/>
        </w:rPr>
        <w:t>Andrea costruita nel luogo di Pugnano</w:t>
      </w:r>
      <w:r w:rsidR="008451E0">
        <w:rPr>
          <w:rFonts w:ascii="Times New Roman" w:hAnsi="Times New Roman"/>
        </w:rPr>
        <w:t>, ottenuta</w:t>
      </w:r>
      <w:r w:rsidR="00D964CF">
        <w:rPr>
          <w:rFonts w:ascii="Times New Roman" w:hAnsi="Times New Roman"/>
        </w:rPr>
        <w:t xml:space="preserve"> da</w:t>
      </w:r>
      <w:r w:rsidR="00FF18D0">
        <w:rPr>
          <w:rFonts w:ascii="Times New Roman" w:hAnsi="Times New Roman"/>
        </w:rPr>
        <w:t>lla chiesa episcopale di</w:t>
      </w:r>
      <w:r w:rsidR="00D964CF">
        <w:rPr>
          <w:rFonts w:ascii="Times New Roman" w:hAnsi="Times New Roman"/>
        </w:rPr>
        <w:t xml:space="preserve"> Lucca</w:t>
      </w:r>
      <w:r w:rsidR="008451E0">
        <w:rPr>
          <w:rFonts w:ascii="Times New Roman" w:hAnsi="Times New Roman"/>
        </w:rPr>
        <w:t xml:space="preserve"> dall’imperatore Guidus</w:t>
      </w:r>
      <w:r>
        <w:rPr>
          <w:rFonts w:ascii="Times New Roman" w:hAnsi="Times New Roman"/>
        </w:rPr>
        <w:t>.</w:t>
      </w:r>
    </w:p>
    <w:p w14:paraId="171F77B2" w14:textId="77777777" w:rsidR="00D40AAD" w:rsidRDefault="00D40AAD" w:rsidP="00D40AAD">
      <w:pPr>
        <w:jc w:val="both"/>
        <w:rPr>
          <w:rFonts w:ascii="Times New Roman" w:hAnsi="Times New Roman"/>
        </w:rPr>
      </w:pPr>
    </w:p>
    <w:p w14:paraId="1F237923" w14:textId="77777777" w:rsidR="00740514" w:rsidRDefault="00740514" w:rsidP="00D40AAD">
      <w:pPr>
        <w:pStyle w:val="Textodecuerpo"/>
      </w:pPr>
      <w:r>
        <w:t>Originale.</w:t>
      </w:r>
    </w:p>
    <w:p w14:paraId="2D3FA196" w14:textId="633D4405" w:rsidR="00D40AAD" w:rsidRDefault="00D40AAD" w:rsidP="00D40AAD">
      <w:pPr>
        <w:pStyle w:val="Textodecuerpo"/>
      </w:pPr>
      <w:r>
        <w:t>Archivio Arcivescovile di Lucca, † P. 60 [A]</w:t>
      </w:r>
      <w:r w:rsidR="009174E1">
        <w:rPr>
          <w:rStyle w:val="Refdenotaalfinal"/>
        </w:rPr>
        <w:endnoteReference w:customMarkFollows="1" w:id="2"/>
        <w:t>*</w:t>
      </w:r>
      <w:r w:rsidR="009174E1">
        <w:t>.</w:t>
      </w:r>
    </w:p>
    <w:p w14:paraId="7D26BAA0" w14:textId="77777777" w:rsidR="00D40AAD" w:rsidRDefault="00D40AAD" w:rsidP="00D40AAD">
      <w:pPr>
        <w:jc w:val="both"/>
        <w:rPr>
          <w:rFonts w:ascii="Times New Roman" w:hAnsi="Times New Roman"/>
        </w:rPr>
      </w:pPr>
    </w:p>
    <w:p w14:paraId="51D282BC" w14:textId="7A3E6E86" w:rsidR="00D40AAD" w:rsidRDefault="005E1731" w:rsidP="00D40AAD">
      <w:pPr>
        <w:jc w:val="both"/>
        <w:rPr>
          <w:rFonts w:ascii="Times New Roman" w:hAnsi="Times New Roman"/>
        </w:rPr>
      </w:pPr>
      <w:r>
        <w:rPr>
          <w:rFonts w:ascii="Times New Roman" w:hAnsi="Times New Roman"/>
        </w:rPr>
        <w:t>Edizioni:</w:t>
      </w:r>
      <w:r w:rsidR="00F9501F">
        <w:rPr>
          <w:rFonts w:ascii="Times New Roman" w:hAnsi="Times New Roman"/>
        </w:rPr>
        <w:t xml:space="preserve"> </w:t>
      </w:r>
      <w:r>
        <w:rPr>
          <w:rFonts w:ascii="Times New Roman" w:hAnsi="Times New Roman"/>
        </w:rPr>
        <w:t>Manaresi,</w:t>
      </w:r>
      <w:r w:rsidR="00D40AAD">
        <w:rPr>
          <w:rFonts w:ascii="Times New Roman" w:hAnsi="Times New Roman"/>
        </w:rPr>
        <w:t xml:space="preserve"> n. 127</w:t>
      </w:r>
      <w:r>
        <w:rPr>
          <w:rFonts w:ascii="Times New Roman" w:hAnsi="Times New Roman"/>
        </w:rPr>
        <w:t xml:space="preserve"> </w:t>
      </w:r>
    </w:p>
    <w:p w14:paraId="13EE54D2" w14:textId="77777777" w:rsidR="00D40AAD" w:rsidRDefault="00D40AAD" w:rsidP="00D40AAD">
      <w:pPr>
        <w:jc w:val="both"/>
        <w:rPr>
          <w:rFonts w:ascii="Times New Roman" w:hAnsi="Times New Roman"/>
        </w:rPr>
      </w:pPr>
    </w:p>
    <w:p w14:paraId="3938ACB2" w14:textId="45315DA4" w:rsidR="00D40AAD" w:rsidRDefault="00D40AAD" w:rsidP="00D40AAD">
      <w:pPr>
        <w:jc w:val="both"/>
        <w:rPr>
          <w:rFonts w:ascii="Times New Roman" w:hAnsi="Times New Roman"/>
        </w:rPr>
      </w:pPr>
      <w:r>
        <w:rPr>
          <w:rFonts w:ascii="Times New Roman" w:hAnsi="Times New Roman"/>
        </w:rPr>
        <w:t>(S) + Dum domnus Berengarius serenissimus rex pro timore Dei et statum omniumque sanctarum Dei Ecclesiarum electorum populo hic Italicis abitantibus animeque sue mercedem iusticiam adimplendum partibus Romam iret, cumque pervenisset infra Tussia foris hanc urbem Luca intus mansionem Ildeberti, missit suum legatum lex faciendum, idest Odelricussuoque vassus et missus constitutus</w:t>
      </w:r>
      <w:r w:rsidR="00E9310F">
        <w:rPr>
          <w:rStyle w:val="Refdenotaalfinal"/>
          <w:rFonts w:ascii="Times New Roman" w:hAnsi="Times New Roman"/>
        </w:rPr>
        <w:endnoteReference w:id="3"/>
      </w:r>
      <w:r>
        <w:rPr>
          <w:rFonts w:ascii="Times New Roman" w:hAnsi="Times New Roman"/>
        </w:rPr>
        <w:t>, sicut et ipse Odelricus missus domni regis in iuditio resideret intus ecclesia sancti Fridiani</w:t>
      </w:r>
      <w:r w:rsidR="007D447F">
        <w:rPr>
          <w:rStyle w:val="Refdenotaalfinal"/>
          <w:rFonts w:ascii="Times New Roman" w:hAnsi="Times New Roman"/>
        </w:rPr>
        <w:endnoteReference w:id="4"/>
      </w:r>
      <w:r>
        <w:rPr>
          <w:rFonts w:ascii="Times New Roman" w:hAnsi="Times New Roman"/>
        </w:rPr>
        <w:t xml:space="preserve"> per data licencia domni Petri episcopi ipsius sancte Lucensis Ecclesie unicuique iusticiam faciendum ac deliberandum, resedentibus cum eo Adelbertus sancte Bergomensis Ecclesie episcopus, Vualpertus, Farimundus, Simpertus, Petrus, item Petrus, Sichardus, Heverardus, Teutelmus, Roschildus, Hansemundus, Hiudo et Vualfredus iudices domni regis</w:t>
      </w:r>
      <w:r w:rsidR="00201BEF">
        <w:rPr>
          <w:rStyle w:val="Refdenotaalfinal"/>
          <w:rFonts w:ascii="Times New Roman" w:hAnsi="Times New Roman"/>
        </w:rPr>
        <w:endnoteReference w:id="5"/>
      </w:r>
      <w:r>
        <w:rPr>
          <w:rFonts w:ascii="Times New Roman" w:hAnsi="Times New Roman"/>
        </w:rPr>
        <w:t>, Benedictus, Adelbertus et [...] scavinis ipsius comitatu Lucense</w:t>
      </w:r>
      <w:r w:rsidR="00E9310F">
        <w:rPr>
          <w:rStyle w:val="Refdenotaalfinal"/>
          <w:rFonts w:ascii="Times New Roman" w:hAnsi="Times New Roman"/>
        </w:rPr>
        <w:endnoteReference w:id="6"/>
      </w:r>
      <w:r>
        <w:rPr>
          <w:rFonts w:ascii="Times New Roman" w:hAnsi="Times New Roman"/>
        </w:rPr>
        <w:t>, Isembaldus notario, Cunimundus, Gottefredus, Gausfredus, Lambertus et Ingelbertus et reliqui plures. Ibique eorum veniens presencia Petrus</w:t>
      </w:r>
      <w:r w:rsidR="00B04C69">
        <w:rPr>
          <w:rStyle w:val="Refdenotaalfinal"/>
          <w:rFonts w:ascii="Times New Roman" w:hAnsi="Times New Roman"/>
        </w:rPr>
        <w:endnoteReference w:id="7"/>
      </w:r>
      <w:r>
        <w:rPr>
          <w:rFonts w:ascii="Times New Roman" w:hAnsi="Times New Roman"/>
        </w:rPr>
        <w:t xml:space="preserve"> sancte Lucensis Ecclesie episcopus una cum item Petrus sc[avi]no</w:t>
      </w:r>
      <w:r w:rsidR="001B7A4C">
        <w:rPr>
          <w:rStyle w:val="Refdenotaalfinal"/>
          <w:rFonts w:ascii="Times New Roman" w:hAnsi="Times New Roman"/>
        </w:rPr>
        <w:endnoteReference w:id="8"/>
      </w:r>
      <w:r>
        <w:rPr>
          <w:rFonts w:ascii="Times New Roman" w:hAnsi="Times New Roman"/>
        </w:rPr>
        <w:t xml:space="preserve"> huius comitatu et advocatus ipsius episcopio et ecclesie sancti Silvestri</w:t>
      </w:r>
      <w:r w:rsidR="00FA4F74">
        <w:rPr>
          <w:rStyle w:val="Refdenotaalfinal"/>
          <w:rFonts w:ascii="Times New Roman" w:hAnsi="Times New Roman"/>
        </w:rPr>
        <w:endnoteReference w:id="9"/>
      </w:r>
      <w:r>
        <w:rPr>
          <w:rFonts w:ascii="Times New Roman" w:hAnsi="Times New Roman"/>
        </w:rPr>
        <w:t xml:space="preserve"> sita subhurbium huius civitatis Lucense, que ecclesia ipsa cum sua pertinencia pertinere videtur de sub regimine et potestate ipsius [episcopio], necnon [ex altera parte El]degarius sancte Laudensis Ecclesie episcopus una cum Adelbertus filio bone memorie Vualperti de civitate Laude et advocatus ipsius episcopio et abacie qui nominatur Savinioni</w:t>
      </w:r>
      <w:r>
        <w:rPr>
          <w:rStyle w:val="Refdenotaalfinal"/>
          <w:rFonts w:ascii="Times New Roman" w:hAnsi="Times New Roman"/>
        </w:rPr>
        <w:endnoteReference w:id="10"/>
      </w:r>
      <w:r>
        <w:rPr>
          <w:rFonts w:ascii="Times New Roman" w:hAnsi="Times New Roman"/>
        </w:rPr>
        <w:t>, que abacia ipsa cum sua pertinen[tia] pertinere videtur de sub regimine et potestate ipsius episcopii sancte Laudensis Ecclesie, altercacionem inter se abentes. Dicebat ipse Petrus scavino et advocatus: “Dudum in iudicio vestri presencia malavit me iste Adel[bertus] advocatus quod pars episcopio sancte Laudensis Ecclesie et sancti Silvestri introissent in eclesia una, qui est edificata in onore sancti Handrei in loco et fundo Apuniano</w:t>
      </w:r>
      <w:r>
        <w:rPr>
          <w:rStyle w:val="Refdenotaalfinal"/>
          <w:rFonts w:ascii="Times New Roman" w:hAnsi="Times New Roman"/>
        </w:rPr>
        <w:endnoteReference w:id="11"/>
      </w:r>
      <w:r>
        <w:rPr>
          <w:rFonts w:ascii="Times New Roman" w:hAnsi="Times New Roman"/>
        </w:rPr>
        <w:t xml:space="preserve"> et rebus ad eadem ecclesia pertinentibus et exinde fruges tul[is]|sent val[entes so]lidos trescentos contra lege et pars ipsius abacie Savinioni desvestisent malo ordine et contra lege. Et ego dedit ei responsum quod pars ipsius episcopio et sancti Silvestri ecclesia ipsa sancti Handre[i] cum omnibus rebus ad se pertinentibus pars sancti Silvestri abet et detinet, set inquirere volerem quid pars uius episcopio et sancti Martini pertinet, et ita inquirendum vuadiam dedit, et iste Adelbertus dedit mihi [vuadiam] de placito eodem; exinde inter nos unitum placitum missum est ipsum dandum responsum”. Cum ipse Petrus scavinus et advocatus, taliter retullisset, ad ec respondens ipse Eldegarius episcopus et Adel[bertus] advoc[atus eius dixerunt:] “Omnia taliter inter nos actum et vuadiatum est, sicut adseruisti et odie exinde inter nos ic vestri presentia placitum missum est; querimus ut det nobis responsum”. Tunc dixit ipse Petrus: “Iam ante [hos dies, tem]pore bone recordante memorie domnus Vuidonem imperatoris, reclamavit</w:t>
      </w:r>
      <w:r>
        <w:rPr>
          <w:rStyle w:val="Refdenotaalfinal"/>
          <w:rFonts w:ascii="Times New Roman" w:hAnsi="Times New Roman"/>
        </w:rPr>
        <w:endnoteReference w:customMarkFollows="1" w:id="12"/>
        <w:t>a</w:t>
      </w:r>
      <w:r>
        <w:rPr>
          <w:rFonts w:ascii="Times New Roman" w:hAnsi="Times New Roman"/>
        </w:rPr>
        <w:t xml:space="preserve"> quondam Garardus</w:t>
      </w:r>
      <w:r w:rsidR="00E51F73">
        <w:rPr>
          <w:rStyle w:val="Refdenotaalfinal"/>
          <w:rFonts w:ascii="Times New Roman" w:hAnsi="Times New Roman"/>
        </w:rPr>
        <w:endnoteReference w:id="13"/>
      </w:r>
      <w:r>
        <w:rPr>
          <w:rFonts w:ascii="Times New Roman" w:hAnsi="Times New Roman"/>
        </w:rPr>
        <w:t xml:space="preserve"> episcopus istius Lucensis quod pars sancte </w:t>
      </w:r>
      <w:r>
        <w:rPr>
          <w:rFonts w:ascii="Times New Roman" w:hAnsi="Times New Roman"/>
        </w:rPr>
        <w:lastRenderedPageBreak/>
        <w:t>Laudensis Ecclesie et abacie Savinionis contra lege ipsa ecclesia sancti Handrei cum omnibus rebus ad se pertinentibus detineret iniuste et pars ipsius episcopio sancte Laudensis Ecclesie minime in racione exinde stare voleret et quondam item Garardus episcopus Laudensis se inde diletaret ut minime inde iusticiam faceret noluisset et per plures placitas</w:t>
      </w:r>
      <w:r>
        <w:rPr>
          <w:rStyle w:val="Refdenotaalfinal"/>
          <w:rFonts w:ascii="Times New Roman" w:hAnsi="Times New Roman"/>
        </w:rPr>
        <w:endnoteReference w:customMarkFollows="1" w:id="14"/>
        <w:t>b</w:t>
      </w:r>
      <w:r>
        <w:rPr>
          <w:rFonts w:ascii="Times New Roman" w:hAnsi="Times New Roman"/>
        </w:rPr>
        <w:t xml:space="preserve"> ipse Garardus episcopus Laudensis diletavit iusticiam faciendum; tunc ipse domnus Vuido imperator pars huius episcopio Lucensis de ipsa ecclesia sancti Ha[ndrei cum omnibus] rebus ad se pertinentibus salva querela investivit, sicut hactenus investitus fuit</w:t>
      </w:r>
      <w:r>
        <w:rPr>
          <w:rStyle w:val="Refdenotaalfinal"/>
          <w:rFonts w:ascii="Times New Roman" w:hAnsi="Times New Roman"/>
        </w:rPr>
        <w:endnoteReference w:customMarkFollows="1" w:id="15"/>
        <w:t>c</w:t>
      </w:r>
      <w:r>
        <w:rPr>
          <w:rFonts w:ascii="Times New Roman" w:hAnsi="Times New Roman"/>
        </w:rPr>
        <w:t>”. Tunc tractantes auditores ut vestituram ipsam ipse Petrus retdere debuisset et pars ipsius [episcopio Laudens]e et abacia Savinionis investitam esse deberet, sicuti et ibi presentem ipse Petrus vestituram ipsam retdedit, et ipse Adelbertus advocatus eam recepit, et hanc noticia inde fieri i[usserunt]. Quidem et ego Ermaldus notarius domni regis ex iussione suprascripto misso et amonicionem predictorum iudicum scripsi. Anno regni domni Berengarii regis Deo propicio vigesimo octavo, decimo die mensis [no]vember, indictione quarta.</w:t>
      </w:r>
    </w:p>
    <w:p w14:paraId="4E45E92D" w14:textId="77777777" w:rsidR="00D40AAD" w:rsidRDefault="00D40AAD" w:rsidP="00D40AAD">
      <w:pPr>
        <w:jc w:val="both"/>
        <w:rPr>
          <w:rFonts w:ascii="Times New Roman" w:hAnsi="Times New Roman"/>
        </w:rPr>
      </w:pPr>
      <w:r>
        <w:rPr>
          <w:rFonts w:ascii="Times New Roman" w:hAnsi="Times New Roman"/>
        </w:rPr>
        <w:t>Signum + manus suprascripto Odelrici vassus et missus domni regis, qui ut supra interfuit. + Roschildus iudex domni regis interfui.</w:t>
      </w:r>
    </w:p>
    <w:p w14:paraId="6B0F4C3F" w14:textId="77777777" w:rsidR="00D40AAD" w:rsidRDefault="00D40AAD" w:rsidP="00D40AAD">
      <w:pPr>
        <w:jc w:val="both"/>
        <w:rPr>
          <w:rFonts w:ascii="Times New Roman" w:hAnsi="Times New Roman"/>
        </w:rPr>
      </w:pPr>
      <w:r>
        <w:rPr>
          <w:rFonts w:ascii="Times New Roman" w:hAnsi="Times New Roman"/>
        </w:rPr>
        <w:t>(S) Vualpertus iudex domni regis interfui.</w:t>
      </w:r>
    </w:p>
    <w:p w14:paraId="44ECF21D" w14:textId="77777777" w:rsidR="00D40AAD" w:rsidRDefault="00D40AAD" w:rsidP="00D40AAD">
      <w:pPr>
        <w:jc w:val="both"/>
        <w:rPr>
          <w:rFonts w:ascii="Times New Roman" w:hAnsi="Times New Roman"/>
        </w:rPr>
      </w:pPr>
      <w:r>
        <w:rPr>
          <w:rFonts w:ascii="Times New Roman" w:hAnsi="Times New Roman"/>
        </w:rPr>
        <w:t>(S) Farimundus iudex domni regis interfui. (S) Hiudo</w:t>
      </w:r>
      <w:r>
        <w:rPr>
          <w:rStyle w:val="Refdenotaalfinal"/>
          <w:rFonts w:ascii="Times New Roman" w:hAnsi="Times New Roman"/>
        </w:rPr>
        <w:endnoteReference w:customMarkFollows="1" w:id="16"/>
        <w:t>d</w:t>
      </w:r>
      <w:r>
        <w:rPr>
          <w:rFonts w:ascii="Times New Roman" w:hAnsi="Times New Roman"/>
        </w:rPr>
        <w:t xml:space="preserve"> iudex domni regis interfui. (S) Ansemundus iudex domni regis interfui.</w:t>
      </w:r>
    </w:p>
    <w:p w14:paraId="51112BA9" w14:textId="77777777" w:rsidR="00D40AAD" w:rsidRDefault="00D40AAD" w:rsidP="00D40AAD">
      <w:pPr>
        <w:jc w:val="both"/>
        <w:rPr>
          <w:rFonts w:ascii="Times New Roman" w:hAnsi="Times New Roman"/>
        </w:rPr>
      </w:pPr>
      <w:r>
        <w:rPr>
          <w:rFonts w:ascii="Times New Roman" w:hAnsi="Times New Roman"/>
        </w:rPr>
        <w:t>(S) Petrus iudex domni regis interfui.</w:t>
      </w:r>
    </w:p>
    <w:p w14:paraId="09F315F3"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6ED98" w14:textId="77777777" w:rsidR="001E1BD1" w:rsidRDefault="001E1BD1" w:rsidP="00D40AAD">
      <w:r>
        <w:separator/>
      </w:r>
    </w:p>
  </w:endnote>
  <w:endnote w:type="continuationSeparator" w:id="0">
    <w:p w14:paraId="5F992088" w14:textId="77777777" w:rsidR="001E1BD1" w:rsidRDefault="001E1BD1" w:rsidP="00D40AAD">
      <w:r>
        <w:continuationSeparator/>
      </w:r>
    </w:p>
  </w:endnote>
  <w:endnote w:id="1">
    <w:p w14:paraId="2386EE77" w14:textId="2F5A8B7C" w:rsidR="001E1BD1" w:rsidRPr="001E1BD1" w:rsidRDefault="001E1BD1">
      <w:pPr>
        <w:pStyle w:val="Textonotaalfinal"/>
        <w:rPr>
          <w:lang w:val="es-ES_tradnl"/>
        </w:rPr>
      </w:pPr>
      <w:r>
        <w:rPr>
          <w:rStyle w:val="Refdenotaalfinal"/>
        </w:rPr>
        <w:endnoteRef/>
      </w:r>
      <w:r>
        <w:t xml:space="preserve"> </w:t>
      </w:r>
      <w:r w:rsidR="00454669">
        <w:t>Su quest</w:t>
      </w:r>
      <w:r w:rsidR="00651104">
        <w:t>o placito,</w:t>
      </w:r>
      <w:r w:rsidR="000C4772">
        <w:t xml:space="preserve"> Provero 2003, p. 193; </w:t>
      </w:r>
      <w:r w:rsidR="000B793F">
        <w:t xml:space="preserve">Castagnetti 2010, pp. 261-262; </w:t>
      </w:r>
      <w:r w:rsidR="000C4772">
        <w:t>Stoffella 2014, p. 64</w:t>
      </w:r>
      <w:r w:rsidR="009C6E92">
        <w:t xml:space="preserve"> e Tomei 2014, p. 30.</w:t>
      </w:r>
    </w:p>
  </w:endnote>
  <w:endnote w:id="2">
    <w:p w14:paraId="2E3FAC98" w14:textId="112FBEBF" w:rsidR="009174E1" w:rsidRDefault="009174E1" w:rsidP="009174E1">
      <w:pPr>
        <w:pStyle w:val="Textonotaalfinal"/>
      </w:pPr>
      <w:r>
        <w:rPr>
          <w:rStyle w:val="Refdenotaalfinal"/>
        </w:rPr>
        <w:t>*</w:t>
      </w:r>
      <w:r>
        <w:t xml:space="preserve"> </w:t>
      </w:r>
      <w:r>
        <w:t xml:space="preserve">La revisione della trascrizione è stata condotta sulla base del confronto </w:t>
      </w:r>
      <w:r w:rsidR="00294517">
        <w:t>con la</w:t>
      </w:r>
      <w:r>
        <w:t xml:space="preserve"> pergamena originale; per esigenze di uniformità interne al progetto, si è scelto di riportare in nota, come per le altre precedenti trascrizioni, le varianti di Manaresi.</w:t>
      </w:r>
    </w:p>
  </w:endnote>
  <w:endnote w:id="3">
    <w:p w14:paraId="375A3722" w14:textId="2C250282" w:rsidR="00E9310F" w:rsidRDefault="00E9310F" w:rsidP="00E9310F">
      <w:pPr>
        <w:pStyle w:val="Textonotaalfinal"/>
      </w:pPr>
      <w:r>
        <w:rPr>
          <w:rStyle w:val="Refdenotaalfinal"/>
        </w:rPr>
        <w:endnoteRef/>
      </w:r>
      <w:r>
        <w:t xml:space="preserve"> </w:t>
      </w:r>
      <w:r>
        <w:t xml:space="preserve">Si tratta di una delle prime apparizioni della espressione </w:t>
      </w:r>
      <w:r>
        <w:rPr>
          <w:i/>
        </w:rPr>
        <w:t>missus et vassus</w:t>
      </w:r>
      <w:r>
        <w:t xml:space="preserve"> in relazione </w:t>
      </w:r>
      <w:r w:rsidR="00972E74">
        <w:t>a</w:t>
      </w:r>
      <w:r w:rsidR="002A09B3">
        <w:t>d un</w:t>
      </w:r>
      <w:r>
        <w:t xml:space="preserve"> singolo personaggio, Provero 2003, p. 193. Per Odelrico si veda anche Manaresi 1955, n. 125 (aprile 913).</w:t>
      </w:r>
    </w:p>
  </w:endnote>
  <w:endnote w:id="4">
    <w:p w14:paraId="65F03EDA" w14:textId="24288C33" w:rsidR="007D447F" w:rsidRPr="007D447F" w:rsidRDefault="007D447F">
      <w:pPr>
        <w:pStyle w:val="Textonotaalfinal"/>
        <w:rPr>
          <w:lang w:val="es-ES_tradnl"/>
        </w:rPr>
      </w:pPr>
      <w:r>
        <w:rPr>
          <w:rStyle w:val="Refdenotaalfinal"/>
        </w:rPr>
        <w:endnoteRef/>
      </w:r>
      <w:r>
        <w:t xml:space="preserve"> </w:t>
      </w:r>
      <w:r>
        <w:rPr>
          <w:lang w:val="es-ES_tradnl"/>
        </w:rPr>
        <w:t>Per questa</w:t>
      </w:r>
      <w:r w:rsidR="00203B25">
        <w:rPr>
          <w:lang w:val="es-ES_tradnl"/>
        </w:rPr>
        <w:t xml:space="preserve"> chiesa si veda </w:t>
      </w:r>
      <w:r w:rsidR="00E73EAF">
        <w:rPr>
          <w:lang w:val="es-ES_tradnl"/>
        </w:rPr>
        <w:t>il placito datato</w:t>
      </w:r>
      <w:r w:rsidR="005903D8">
        <w:rPr>
          <w:lang w:val="es-ES_tradnl"/>
        </w:rPr>
        <w:t xml:space="preserve"> </w:t>
      </w:r>
      <w:r w:rsidR="00115F9E">
        <w:rPr>
          <w:lang w:val="es-ES_tradnl"/>
        </w:rPr>
        <w:t>900 giugno 6 alla nota n. 3.</w:t>
      </w:r>
    </w:p>
  </w:endnote>
  <w:endnote w:id="5">
    <w:p w14:paraId="11E2440F" w14:textId="55A0E062" w:rsidR="00201BEF" w:rsidRPr="00201BEF" w:rsidRDefault="00201BEF">
      <w:pPr>
        <w:pStyle w:val="Textonotaalfinal"/>
        <w:rPr>
          <w:lang w:val="es-ES_tradnl"/>
        </w:rPr>
      </w:pPr>
      <w:r>
        <w:rPr>
          <w:rStyle w:val="Refdenotaalfinal"/>
        </w:rPr>
        <w:endnoteRef/>
      </w:r>
      <w:r>
        <w:t xml:space="preserve"> </w:t>
      </w:r>
      <w:r w:rsidR="0065694B">
        <w:t xml:space="preserve">Su questi </w:t>
      </w:r>
      <w:r w:rsidR="0065694B">
        <w:rPr>
          <w:i/>
        </w:rPr>
        <w:t xml:space="preserve">iudices </w:t>
      </w:r>
      <w:r>
        <w:rPr>
          <w:lang w:val="es-ES_tradnl"/>
        </w:rPr>
        <w:t>Keller 1973, p. 134</w:t>
      </w:r>
      <w:r w:rsidR="004841D5">
        <w:rPr>
          <w:lang w:val="es-ES_tradnl"/>
        </w:rPr>
        <w:t xml:space="preserve"> e ss</w:t>
      </w:r>
      <w:r w:rsidR="004240CE">
        <w:rPr>
          <w:lang w:val="es-ES_tradnl"/>
        </w:rPr>
        <w:t>.</w:t>
      </w:r>
      <w:r w:rsidR="004841D5">
        <w:rPr>
          <w:lang w:val="es-ES_tradnl"/>
        </w:rPr>
        <w:t xml:space="preserve"> e Radding 2013, pp. </w:t>
      </w:r>
      <w:r w:rsidR="00F712B7">
        <w:rPr>
          <w:lang w:val="es-ES_tradnl"/>
        </w:rPr>
        <w:t>231 e ss.</w:t>
      </w:r>
    </w:p>
  </w:endnote>
  <w:endnote w:id="6">
    <w:p w14:paraId="32D78B95" w14:textId="6A6635EB" w:rsidR="00E9310F" w:rsidRPr="00E9310F" w:rsidRDefault="00E9310F">
      <w:pPr>
        <w:pStyle w:val="Textonotaalfinal"/>
        <w:rPr>
          <w:lang w:val="es-ES_tradnl"/>
        </w:rPr>
      </w:pPr>
      <w:r>
        <w:rPr>
          <w:rStyle w:val="Refdenotaalfinal"/>
        </w:rPr>
        <w:endnoteRef/>
      </w:r>
      <w:r>
        <w:t xml:space="preserve"> </w:t>
      </w:r>
      <w:r>
        <w:rPr>
          <w:lang w:val="es-ES_tradnl"/>
        </w:rPr>
        <w:t>Keller 1973, pp. 139-140.</w:t>
      </w:r>
    </w:p>
  </w:endnote>
  <w:endnote w:id="7">
    <w:p w14:paraId="2A4BFD09" w14:textId="52345E83" w:rsidR="00B04C69" w:rsidRPr="00B04C69" w:rsidRDefault="00B04C69">
      <w:pPr>
        <w:pStyle w:val="Textonotaalfinal"/>
        <w:rPr>
          <w:lang w:val="es-ES_tradnl"/>
        </w:rPr>
      </w:pPr>
      <w:r>
        <w:rPr>
          <w:rStyle w:val="Refdenotaalfinal"/>
        </w:rPr>
        <w:endnoteRef/>
      </w:r>
      <w:r>
        <w:t xml:space="preserve"> </w:t>
      </w:r>
      <w:r>
        <w:rPr>
          <w:rFonts w:eastAsia="Times New Roman"/>
        </w:rPr>
        <w:t>Pietro II, vescovo di Lucca dall’896 al 932 (</w:t>
      </w:r>
      <w:r>
        <w:rPr>
          <w:rFonts w:eastAsia="Times New Roman"/>
          <w:color w:val="000000"/>
        </w:rPr>
        <w:t>Tomei 2012, pp. 584-586</w:t>
      </w:r>
      <w:r>
        <w:rPr>
          <w:rFonts w:eastAsia="Times New Roman"/>
        </w:rPr>
        <w:t xml:space="preserve">). Nella documentazione giudiziaria relativa a Lucca viene citato anche in Tomei 2014 (900 giugno 6); Manaresi n. 111 (febbraio 901); </w:t>
      </w:r>
      <w:r>
        <w:t>Bertini, IV/2, n. LIII (901 aprile 23); Barsocchini, V/3 n. 1058 (902 maggio 19)</w:t>
      </w:r>
      <w:r w:rsidR="00DE3E7D">
        <w:t xml:space="preserve"> e</w:t>
      </w:r>
      <w:r>
        <w:t xml:space="preserve"> Manaresi, n. 116 (904 dicembre 25)</w:t>
      </w:r>
      <w:r w:rsidR="00DE3E7D">
        <w:t>.</w:t>
      </w:r>
    </w:p>
  </w:endnote>
  <w:endnote w:id="8">
    <w:p w14:paraId="4923195C" w14:textId="795CE9D5" w:rsidR="001B7A4C" w:rsidRPr="001B7A4C" w:rsidRDefault="001B7A4C">
      <w:pPr>
        <w:pStyle w:val="Textonotaalfinal"/>
        <w:rPr>
          <w:lang w:val="es-ES_tradnl"/>
        </w:rPr>
      </w:pPr>
      <w:r>
        <w:rPr>
          <w:rStyle w:val="Refdenotaalfinal"/>
        </w:rPr>
        <w:endnoteRef/>
      </w:r>
      <w:r>
        <w:t xml:space="preserve"> </w:t>
      </w:r>
      <w:r w:rsidR="000E517A">
        <w:t xml:space="preserve">Keller 1973, pp. 139-140. Compare anche in Manaresi, n. 116 </w:t>
      </w:r>
      <w:r w:rsidR="00EC3EB2">
        <w:t>(904 dicembre 25).</w:t>
      </w:r>
    </w:p>
  </w:endnote>
  <w:endnote w:id="9">
    <w:p w14:paraId="7A2E0B46" w14:textId="1A32211B" w:rsidR="00FA4F74" w:rsidRPr="00FA4F74" w:rsidRDefault="00FA4F74">
      <w:pPr>
        <w:pStyle w:val="Textonotaalfinal"/>
        <w:rPr>
          <w:lang w:val="es-ES_tradnl"/>
        </w:rPr>
      </w:pPr>
      <w:r>
        <w:rPr>
          <w:rStyle w:val="Refdenotaalfinal"/>
        </w:rPr>
        <w:endnoteRef/>
      </w:r>
      <w:r>
        <w:t xml:space="preserve"> </w:t>
      </w:r>
      <w:r>
        <w:rPr>
          <w:lang w:val="es-ES_tradnl"/>
        </w:rPr>
        <w:t>Per questa</w:t>
      </w:r>
      <w:r w:rsidR="00C03229">
        <w:rPr>
          <w:lang w:val="es-ES_tradnl"/>
        </w:rPr>
        <w:t xml:space="preserve"> chiesa</w:t>
      </w:r>
      <w:r w:rsidR="000F3D12" w:rsidRPr="000F3D12">
        <w:rPr>
          <w:lang w:val="es-ES_tradnl"/>
        </w:rPr>
        <w:t xml:space="preserve"> </w:t>
      </w:r>
      <w:r w:rsidR="000F3D12">
        <w:rPr>
          <w:lang w:val="es-ES_tradnl"/>
        </w:rPr>
        <w:t>si veda il placito datato 900 giugno 6 alla nota n. 3.</w:t>
      </w:r>
    </w:p>
  </w:endnote>
  <w:endnote w:id="10">
    <w:p w14:paraId="6B1866CC" w14:textId="50BEC1EA" w:rsidR="001E1BD1" w:rsidRDefault="001E1BD1" w:rsidP="00D40AAD">
      <w:pPr>
        <w:pStyle w:val="Textonotaalfinal"/>
      </w:pPr>
      <w:r>
        <w:rPr>
          <w:rStyle w:val="Refdenotaalfinal"/>
        </w:rPr>
        <w:endnoteRef/>
      </w:r>
      <w:r>
        <w:t xml:space="preserve"> </w:t>
      </w:r>
      <w:r>
        <w:t>Savignone, in diocesi di Tortona. Posta sotto la protezione del vescovo di Lodi con privilegio di papa Marino (a. 833), Manaresi</w:t>
      </w:r>
      <w:r w:rsidR="00F00EBB">
        <w:t xml:space="preserve"> 1955</w:t>
      </w:r>
      <w:r>
        <w:t>, p. 476, nota 1.</w:t>
      </w:r>
    </w:p>
  </w:endnote>
  <w:endnote w:id="11">
    <w:p w14:paraId="222C941A" w14:textId="642FA5CB" w:rsidR="001E1BD1" w:rsidRDefault="001E1BD1" w:rsidP="00D40AAD">
      <w:pPr>
        <w:pStyle w:val="Textonotaalfinal"/>
      </w:pPr>
      <w:r>
        <w:rPr>
          <w:rStyle w:val="Refdenotaalfinal"/>
        </w:rPr>
        <w:endnoteRef/>
      </w:r>
      <w:r w:rsidR="00922B56">
        <w:t xml:space="preserve"> Diocesi di Lucca, Repetti, IV, p. 682.</w:t>
      </w:r>
    </w:p>
  </w:endnote>
  <w:endnote w:id="12">
    <w:p w14:paraId="233A63D1" w14:textId="4482D4A1" w:rsidR="001E1BD1" w:rsidRDefault="001E1BD1" w:rsidP="00D40AAD">
      <w:pPr>
        <w:pStyle w:val="Textonotaalfinal"/>
      </w:pPr>
      <w:r>
        <w:rPr>
          <w:rStyle w:val="Refdenotaalfinal"/>
        </w:rPr>
        <w:t>a</w:t>
      </w:r>
      <w:r w:rsidR="00976A3B">
        <w:t xml:space="preserve"> S</w:t>
      </w:r>
      <w:r>
        <w:t>i desidera</w:t>
      </w:r>
    </w:p>
  </w:endnote>
  <w:endnote w:id="13">
    <w:p w14:paraId="43643C16" w14:textId="29111260" w:rsidR="00E51F73" w:rsidRPr="00E51F73" w:rsidRDefault="00E51F73">
      <w:pPr>
        <w:pStyle w:val="Textonotaalfinal"/>
        <w:rPr>
          <w:lang w:val="es-ES_tradnl"/>
        </w:rPr>
      </w:pPr>
      <w:r>
        <w:rPr>
          <w:rStyle w:val="Refdenotaalfinal"/>
        </w:rPr>
        <w:endnoteRef/>
      </w:r>
      <w:r>
        <w:t xml:space="preserve"> </w:t>
      </w:r>
      <w:r>
        <w:rPr>
          <w:rFonts w:eastAsia="Times New Roman"/>
        </w:rPr>
        <w:t xml:space="preserve">Gherardo I, vescovo di Lucca dall’870 all’895, </w:t>
      </w:r>
      <w:r w:rsidRPr="00414120">
        <w:rPr>
          <w:rFonts w:eastAsia="Times New Roman"/>
          <w:color w:val="000000"/>
        </w:rPr>
        <w:t>Schwarzmaier 1972,</w:t>
      </w:r>
      <w:r>
        <w:rPr>
          <w:rFonts w:eastAsia="Times New Roman"/>
          <w:color w:val="000000"/>
        </w:rPr>
        <w:t xml:space="preserve"> pp. 97-100</w:t>
      </w:r>
      <w:r>
        <w:rPr>
          <w:rFonts w:eastAsia="Times New Roman"/>
        </w:rPr>
        <w:t xml:space="preserve"> e Ranallo 1973, </w:t>
      </w:r>
      <w:r>
        <w:t>pp. 720-723.</w:t>
      </w:r>
      <w:r w:rsidR="00F13773">
        <w:t xml:space="preserve"> Viene citato anche in MDL, 5/2, n. 983</w:t>
      </w:r>
      <w:r w:rsidR="008144EB">
        <w:t xml:space="preserve"> (ottobre 892).</w:t>
      </w:r>
    </w:p>
  </w:endnote>
  <w:endnote w:id="14">
    <w:p w14:paraId="12140F83" w14:textId="77777777" w:rsidR="001E1BD1" w:rsidRDefault="001E1BD1" w:rsidP="00D40AAD">
      <w:pPr>
        <w:pStyle w:val="Textonotaalfinal"/>
      </w:pPr>
      <w:r>
        <w:rPr>
          <w:rStyle w:val="Refdenotaalfinal"/>
        </w:rPr>
        <w:t>b</w:t>
      </w:r>
      <w:r>
        <w:t xml:space="preserve"> Si desiderano.</w:t>
      </w:r>
    </w:p>
  </w:endnote>
  <w:endnote w:id="15">
    <w:p w14:paraId="26A3CC1D" w14:textId="7D22C7BE" w:rsidR="001E1BD1" w:rsidRDefault="001E1BD1" w:rsidP="00D40AAD">
      <w:pPr>
        <w:pStyle w:val="Textonotaalfinal"/>
      </w:pPr>
      <w:r>
        <w:rPr>
          <w:rStyle w:val="Refdenotaalfinal"/>
        </w:rPr>
        <w:t>c</w:t>
      </w:r>
      <w:r>
        <w:t xml:space="preserve"> Si desidera. </w:t>
      </w:r>
      <w:r>
        <w:t>Schiaparelli, considerando</w:t>
      </w:r>
      <w:r w:rsidR="00F948DC">
        <w:t xml:space="preserve"> come un diploma questo atto perduto</w:t>
      </w:r>
      <w:r>
        <w:t>, lo datava ai primi mesi dell’anno 894,</w:t>
      </w:r>
      <w:bookmarkStart w:id="0" w:name="_GoBack"/>
      <w:bookmarkEnd w:id="0"/>
      <w:r>
        <w:t xml:space="preserve"> Schiaparelli 1906, diplomi perduti, n. 11, p. 68.</w:t>
      </w:r>
    </w:p>
  </w:endnote>
  <w:endnote w:id="16">
    <w:p w14:paraId="74DA3EDC" w14:textId="77777777" w:rsidR="001E1BD1" w:rsidRDefault="001E1BD1" w:rsidP="00D40AAD">
      <w:pPr>
        <w:pStyle w:val="Textonotaalfinal"/>
      </w:pPr>
      <w:r>
        <w:rPr>
          <w:rStyle w:val="Refdenotaalfinal"/>
        </w:rPr>
        <w:t>d</w:t>
      </w:r>
      <w:r>
        <w:t xml:space="preserve"> In Manaresi “Hiude”.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9DB2D7" w14:textId="77777777" w:rsidR="001E1BD1" w:rsidRDefault="001E1BD1" w:rsidP="00D40AAD">
      <w:r>
        <w:separator/>
      </w:r>
    </w:p>
  </w:footnote>
  <w:footnote w:type="continuationSeparator" w:id="0">
    <w:p w14:paraId="55C70ACB" w14:textId="77777777" w:rsidR="001E1BD1" w:rsidRDefault="001E1BD1" w:rsidP="00D40A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AAD"/>
    <w:rsid w:val="00000969"/>
    <w:rsid w:val="000073A1"/>
    <w:rsid w:val="00030C89"/>
    <w:rsid w:val="000511DA"/>
    <w:rsid w:val="000571C0"/>
    <w:rsid w:val="00084859"/>
    <w:rsid w:val="00092024"/>
    <w:rsid w:val="000952A6"/>
    <w:rsid w:val="000A6FD9"/>
    <w:rsid w:val="000B793F"/>
    <w:rsid w:val="000C3CA6"/>
    <w:rsid w:val="000C4772"/>
    <w:rsid w:val="000C6781"/>
    <w:rsid w:val="000E517A"/>
    <w:rsid w:val="000F3D12"/>
    <w:rsid w:val="000F6135"/>
    <w:rsid w:val="00115F9E"/>
    <w:rsid w:val="00137249"/>
    <w:rsid w:val="00191F54"/>
    <w:rsid w:val="0019319E"/>
    <w:rsid w:val="001B1FCA"/>
    <w:rsid w:val="001B7A4C"/>
    <w:rsid w:val="001D4792"/>
    <w:rsid w:val="001E1BD1"/>
    <w:rsid w:val="001E7EAD"/>
    <w:rsid w:val="00201BEF"/>
    <w:rsid w:val="00203B25"/>
    <w:rsid w:val="00247BEE"/>
    <w:rsid w:val="00294517"/>
    <w:rsid w:val="002A09B3"/>
    <w:rsid w:val="00313059"/>
    <w:rsid w:val="003701DC"/>
    <w:rsid w:val="0037443E"/>
    <w:rsid w:val="003C71D8"/>
    <w:rsid w:val="003D488F"/>
    <w:rsid w:val="003D796B"/>
    <w:rsid w:val="003F4C64"/>
    <w:rsid w:val="00400AD9"/>
    <w:rsid w:val="00413909"/>
    <w:rsid w:val="004235AC"/>
    <w:rsid w:val="004240CE"/>
    <w:rsid w:val="00436F33"/>
    <w:rsid w:val="004416F8"/>
    <w:rsid w:val="00447B7F"/>
    <w:rsid w:val="00454669"/>
    <w:rsid w:val="0048002C"/>
    <w:rsid w:val="00480DB9"/>
    <w:rsid w:val="004841D5"/>
    <w:rsid w:val="004D29C1"/>
    <w:rsid w:val="004E07E6"/>
    <w:rsid w:val="005903D8"/>
    <w:rsid w:val="005E1731"/>
    <w:rsid w:val="005F31AD"/>
    <w:rsid w:val="00651104"/>
    <w:rsid w:val="0065694B"/>
    <w:rsid w:val="006710EE"/>
    <w:rsid w:val="006A60AD"/>
    <w:rsid w:val="006B77A8"/>
    <w:rsid w:val="006E6BB5"/>
    <w:rsid w:val="006F5B12"/>
    <w:rsid w:val="0070487E"/>
    <w:rsid w:val="0070724B"/>
    <w:rsid w:val="007238C2"/>
    <w:rsid w:val="00724FDB"/>
    <w:rsid w:val="00733EE2"/>
    <w:rsid w:val="00740514"/>
    <w:rsid w:val="0075646D"/>
    <w:rsid w:val="00764267"/>
    <w:rsid w:val="007A1184"/>
    <w:rsid w:val="007A4B58"/>
    <w:rsid w:val="007D447F"/>
    <w:rsid w:val="007F7B43"/>
    <w:rsid w:val="0080452B"/>
    <w:rsid w:val="008144EB"/>
    <w:rsid w:val="008451E0"/>
    <w:rsid w:val="008660C7"/>
    <w:rsid w:val="008B4729"/>
    <w:rsid w:val="008F5692"/>
    <w:rsid w:val="009075CB"/>
    <w:rsid w:val="009174E1"/>
    <w:rsid w:val="00922B56"/>
    <w:rsid w:val="0097105B"/>
    <w:rsid w:val="00972E74"/>
    <w:rsid w:val="00976A3B"/>
    <w:rsid w:val="009815CA"/>
    <w:rsid w:val="009C6E92"/>
    <w:rsid w:val="009C7CED"/>
    <w:rsid w:val="009D43F6"/>
    <w:rsid w:val="009F2D72"/>
    <w:rsid w:val="009F6DF5"/>
    <w:rsid w:val="00A03C61"/>
    <w:rsid w:val="00A3306D"/>
    <w:rsid w:val="00A606B2"/>
    <w:rsid w:val="00A6469F"/>
    <w:rsid w:val="00A77B56"/>
    <w:rsid w:val="00A8342D"/>
    <w:rsid w:val="00A935AC"/>
    <w:rsid w:val="00A96BC4"/>
    <w:rsid w:val="00AE544C"/>
    <w:rsid w:val="00B04C69"/>
    <w:rsid w:val="00B06CD2"/>
    <w:rsid w:val="00B321C2"/>
    <w:rsid w:val="00B73E5D"/>
    <w:rsid w:val="00BF0E1A"/>
    <w:rsid w:val="00BF0EA0"/>
    <w:rsid w:val="00C03229"/>
    <w:rsid w:val="00C31CD1"/>
    <w:rsid w:val="00C4044E"/>
    <w:rsid w:val="00C56575"/>
    <w:rsid w:val="00C85D71"/>
    <w:rsid w:val="00CD3E9B"/>
    <w:rsid w:val="00CF3CDA"/>
    <w:rsid w:val="00D40AAD"/>
    <w:rsid w:val="00D4712F"/>
    <w:rsid w:val="00D62531"/>
    <w:rsid w:val="00D7342D"/>
    <w:rsid w:val="00D964CF"/>
    <w:rsid w:val="00DD7D71"/>
    <w:rsid w:val="00DE2B2E"/>
    <w:rsid w:val="00DE3E7D"/>
    <w:rsid w:val="00DF592B"/>
    <w:rsid w:val="00E15849"/>
    <w:rsid w:val="00E40873"/>
    <w:rsid w:val="00E51F73"/>
    <w:rsid w:val="00E7100B"/>
    <w:rsid w:val="00E73EAF"/>
    <w:rsid w:val="00E87DF4"/>
    <w:rsid w:val="00E9310F"/>
    <w:rsid w:val="00EC3EB2"/>
    <w:rsid w:val="00F00EBB"/>
    <w:rsid w:val="00F024AA"/>
    <w:rsid w:val="00F13773"/>
    <w:rsid w:val="00F712B7"/>
    <w:rsid w:val="00F87B59"/>
    <w:rsid w:val="00F948DC"/>
    <w:rsid w:val="00F9501F"/>
    <w:rsid w:val="00FA4F74"/>
    <w:rsid w:val="00FB1F12"/>
    <w:rsid w:val="00FB6523"/>
    <w:rsid w:val="00FF18D0"/>
    <w:rsid w:val="00FF784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19C9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A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D40AAD"/>
    <w:pPr>
      <w:jc w:val="both"/>
    </w:pPr>
    <w:rPr>
      <w:rFonts w:ascii="Times New Roman" w:hAnsi="Times New Roman"/>
    </w:rPr>
  </w:style>
  <w:style w:type="character" w:customStyle="1" w:styleId="TextodecuerpoCar">
    <w:name w:val="Texto de cuerpo Car"/>
    <w:basedOn w:val="Fuentedeprrafopredeter"/>
    <w:link w:val="Textodecuerpo"/>
    <w:rsid w:val="00D40AAD"/>
    <w:rPr>
      <w:rFonts w:ascii="Times New Roman" w:eastAsia="Times" w:hAnsi="Times New Roman" w:cs="Times New Roman"/>
      <w:noProof/>
      <w:szCs w:val="20"/>
    </w:rPr>
  </w:style>
  <w:style w:type="paragraph" w:styleId="Textonotaalfinal">
    <w:name w:val="endnote text"/>
    <w:basedOn w:val="Normal"/>
    <w:link w:val="TextonotaalfinalCar"/>
    <w:autoRedefine/>
    <w:rsid w:val="00D40AAD"/>
    <w:pPr>
      <w:jc w:val="both"/>
    </w:pPr>
    <w:rPr>
      <w:rFonts w:ascii="Times New Roman" w:hAnsi="Times New Roman"/>
      <w:sz w:val="20"/>
    </w:rPr>
  </w:style>
  <w:style w:type="character" w:customStyle="1" w:styleId="TextonotaalfinalCar">
    <w:name w:val="Texto nota al final Car"/>
    <w:basedOn w:val="Fuentedeprrafopredeter"/>
    <w:link w:val="Textonotaalfinal"/>
    <w:rsid w:val="00D40AAD"/>
    <w:rPr>
      <w:rFonts w:ascii="Times New Roman" w:eastAsia="Times" w:hAnsi="Times New Roman" w:cs="Times New Roman"/>
      <w:noProof/>
      <w:sz w:val="20"/>
      <w:szCs w:val="20"/>
    </w:rPr>
  </w:style>
  <w:style w:type="character" w:styleId="Refdenotaalfinal">
    <w:name w:val="endnote reference"/>
    <w:rsid w:val="00D40AAD"/>
    <w:rPr>
      <w:vertAlign w:val="superscript"/>
    </w:rPr>
  </w:style>
  <w:style w:type="paragraph" w:styleId="Textonotapie">
    <w:name w:val="footnote text"/>
    <w:basedOn w:val="Normal"/>
    <w:link w:val="TextonotapieCar"/>
    <w:uiPriority w:val="99"/>
    <w:unhideWhenUsed/>
    <w:rsid w:val="00E9310F"/>
    <w:rPr>
      <w:szCs w:val="24"/>
    </w:rPr>
  </w:style>
  <w:style w:type="character" w:customStyle="1" w:styleId="TextonotapieCar">
    <w:name w:val="Texto nota pie Car"/>
    <w:basedOn w:val="Fuentedeprrafopredeter"/>
    <w:link w:val="Textonotapie"/>
    <w:uiPriority w:val="99"/>
    <w:rsid w:val="00E9310F"/>
    <w:rPr>
      <w:rFonts w:ascii="Times" w:eastAsia="Times" w:hAnsi="Times" w:cs="Times New Roman"/>
      <w:noProof/>
    </w:rPr>
  </w:style>
  <w:style w:type="character" w:styleId="Refdenotaalpie">
    <w:name w:val="footnote reference"/>
    <w:basedOn w:val="Fuentedeprrafopredeter"/>
    <w:uiPriority w:val="99"/>
    <w:unhideWhenUsed/>
    <w:rsid w:val="00E9310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A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D40AAD"/>
    <w:pPr>
      <w:jc w:val="both"/>
    </w:pPr>
    <w:rPr>
      <w:rFonts w:ascii="Times New Roman" w:hAnsi="Times New Roman"/>
    </w:rPr>
  </w:style>
  <w:style w:type="character" w:customStyle="1" w:styleId="TextodecuerpoCar">
    <w:name w:val="Texto de cuerpo Car"/>
    <w:basedOn w:val="Fuentedeprrafopredeter"/>
    <w:link w:val="Textodecuerpo"/>
    <w:rsid w:val="00D40AAD"/>
    <w:rPr>
      <w:rFonts w:ascii="Times New Roman" w:eastAsia="Times" w:hAnsi="Times New Roman" w:cs="Times New Roman"/>
      <w:noProof/>
      <w:szCs w:val="20"/>
    </w:rPr>
  </w:style>
  <w:style w:type="paragraph" w:styleId="Textonotaalfinal">
    <w:name w:val="endnote text"/>
    <w:basedOn w:val="Normal"/>
    <w:link w:val="TextonotaalfinalCar"/>
    <w:autoRedefine/>
    <w:rsid w:val="00D40AAD"/>
    <w:pPr>
      <w:jc w:val="both"/>
    </w:pPr>
    <w:rPr>
      <w:rFonts w:ascii="Times New Roman" w:hAnsi="Times New Roman"/>
      <w:sz w:val="20"/>
    </w:rPr>
  </w:style>
  <w:style w:type="character" w:customStyle="1" w:styleId="TextonotaalfinalCar">
    <w:name w:val="Texto nota al final Car"/>
    <w:basedOn w:val="Fuentedeprrafopredeter"/>
    <w:link w:val="Textonotaalfinal"/>
    <w:rsid w:val="00D40AAD"/>
    <w:rPr>
      <w:rFonts w:ascii="Times New Roman" w:eastAsia="Times" w:hAnsi="Times New Roman" w:cs="Times New Roman"/>
      <w:noProof/>
      <w:sz w:val="20"/>
      <w:szCs w:val="20"/>
    </w:rPr>
  </w:style>
  <w:style w:type="character" w:styleId="Refdenotaalfinal">
    <w:name w:val="endnote reference"/>
    <w:rsid w:val="00D40AAD"/>
    <w:rPr>
      <w:vertAlign w:val="superscript"/>
    </w:rPr>
  </w:style>
  <w:style w:type="paragraph" w:styleId="Textonotapie">
    <w:name w:val="footnote text"/>
    <w:basedOn w:val="Normal"/>
    <w:link w:val="TextonotapieCar"/>
    <w:uiPriority w:val="99"/>
    <w:unhideWhenUsed/>
    <w:rsid w:val="00E9310F"/>
    <w:rPr>
      <w:szCs w:val="24"/>
    </w:rPr>
  </w:style>
  <w:style w:type="character" w:customStyle="1" w:styleId="TextonotapieCar">
    <w:name w:val="Texto nota pie Car"/>
    <w:basedOn w:val="Fuentedeprrafopredeter"/>
    <w:link w:val="Textonotapie"/>
    <w:uiPriority w:val="99"/>
    <w:rsid w:val="00E9310F"/>
    <w:rPr>
      <w:rFonts w:ascii="Times" w:eastAsia="Times" w:hAnsi="Times" w:cs="Times New Roman"/>
      <w:noProof/>
    </w:rPr>
  </w:style>
  <w:style w:type="character" w:styleId="Refdenotaalpie">
    <w:name w:val="footnote reference"/>
    <w:basedOn w:val="Fuentedeprrafopredeter"/>
    <w:uiPriority w:val="99"/>
    <w:unhideWhenUsed/>
    <w:rsid w:val="00E931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788</Words>
  <Characters>4338</Characters>
  <Application>Microsoft Macintosh Word</Application>
  <DocSecurity>0</DocSecurity>
  <Lines>36</Lines>
  <Paragraphs>10</Paragraphs>
  <ScaleCrop>false</ScaleCrop>
  <Company>casita</Company>
  <LinksUpToDate>false</LinksUpToDate>
  <CharactersWithSpaces>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176</cp:revision>
  <dcterms:created xsi:type="dcterms:W3CDTF">2015-11-30T10:21:00Z</dcterms:created>
  <dcterms:modified xsi:type="dcterms:W3CDTF">2015-12-22T08:56:00Z</dcterms:modified>
</cp:coreProperties>
</file>