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6D453A"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vertAlign w:val="superscript"/>
        </w:rPr>
      </w:pPr>
      <w:r>
        <w:rPr>
          <w:rFonts w:ascii="Times New Roman" w:eastAsia="Times New Roman" w:hAnsi="Times New Roman"/>
        </w:rPr>
        <w:t>900 giugno 6, (Lucca)</w:t>
      </w:r>
      <w:r>
        <w:rPr>
          <w:rStyle w:val="Refdenotaalfinal"/>
          <w:rFonts w:ascii="Times New Roman" w:eastAsia="Times New Roman" w:hAnsi="Times New Roman"/>
        </w:rPr>
        <w:endnoteReference w:id="1"/>
      </w:r>
    </w:p>
    <w:p w14:paraId="3E05905F"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76805F3B"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Nel placito presieduto da </w:t>
      </w:r>
      <w:r w:rsidRPr="00BB694C">
        <w:rPr>
          <w:rFonts w:ascii="Times New Roman" w:eastAsia="Times New Roman" w:hAnsi="Times New Roman"/>
        </w:rPr>
        <w:t>Odalbertus</w:t>
      </w:r>
      <w:r>
        <w:rPr>
          <w:rFonts w:ascii="Times New Roman" w:eastAsia="Times New Roman" w:hAnsi="Times New Roman"/>
        </w:rPr>
        <w:t xml:space="preserve">, vescovo di Luni e </w:t>
      </w:r>
      <w:r>
        <w:rPr>
          <w:rFonts w:ascii="Times New Roman" w:eastAsia="Times New Roman" w:hAnsi="Times New Roman"/>
          <w:i/>
        </w:rPr>
        <w:t xml:space="preserve">missus </w:t>
      </w:r>
      <w:r>
        <w:rPr>
          <w:rFonts w:ascii="Times New Roman" w:eastAsia="Times New Roman" w:hAnsi="Times New Roman"/>
        </w:rPr>
        <w:t xml:space="preserve">di re </w:t>
      </w:r>
      <w:r w:rsidRPr="00BB694C">
        <w:rPr>
          <w:rFonts w:ascii="Times New Roman" w:eastAsia="Times New Roman" w:hAnsi="Times New Roman"/>
        </w:rPr>
        <w:t>Berengarius</w:t>
      </w:r>
      <w:r>
        <w:rPr>
          <w:rFonts w:ascii="Times New Roman" w:eastAsia="Times New Roman" w:hAnsi="Times New Roman"/>
        </w:rPr>
        <w:t xml:space="preserve">, il vescovo di Lucca </w:t>
      </w:r>
      <w:r w:rsidRPr="00BB694C">
        <w:rPr>
          <w:rFonts w:ascii="Times New Roman" w:eastAsia="Times New Roman" w:hAnsi="Times New Roman"/>
        </w:rPr>
        <w:t>Petrus II</w:t>
      </w:r>
      <w:r>
        <w:rPr>
          <w:rFonts w:ascii="Times New Roman" w:eastAsia="Times New Roman" w:hAnsi="Times New Roman"/>
        </w:rPr>
        <w:t xml:space="preserve">, presentato in giudizio un diploma di </w:t>
      </w:r>
      <w:r w:rsidRPr="00573B86">
        <w:rPr>
          <w:rFonts w:ascii="Times New Roman" w:eastAsia="Times New Roman" w:hAnsi="Times New Roman"/>
        </w:rPr>
        <w:t>Berengarius</w:t>
      </w:r>
      <w:r>
        <w:rPr>
          <w:rFonts w:ascii="Times New Roman" w:eastAsia="Times New Roman" w:hAnsi="Times New Roman"/>
          <w:i/>
        </w:rPr>
        <w:t xml:space="preserve"> </w:t>
      </w:r>
      <w:r>
        <w:rPr>
          <w:rFonts w:ascii="Times New Roman" w:eastAsia="Times New Roman" w:hAnsi="Times New Roman"/>
        </w:rPr>
        <w:t>e un placito e ottenuta l’approvazione dei suddetti documenti da parte dei presenti, viene reinvestito delle chiese di San Frediano e San Silvestro di Lucca e delle loro pertinenze.</w:t>
      </w:r>
    </w:p>
    <w:p w14:paraId="35D248A7"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5F3A1000"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Originale, Archivio Storico Diocesano di Lucca, Diplomatico Arcivescovile, coperta del Liber ser Petri Tucci 1546 [A].</w:t>
      </w:r>
    </w:p>
    <w:p w14:paraId="5184A7F7"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692C9202" w14:textId="67269851"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Edizione: Tomei 20</w:t>
      </w:r>
      <w:r w:rsidR="003B7633">
        <w:rPr>
          <w:rFonts w:ascii="Times New Roman" w:eastAsia="Times New Roman" w:hAnsi="Times New Roman"/>
        </w:rPr>
        <w:t>14</w:t>
      </w:r>
    </w:p>
    <w:p w14:paraId="6DEA4A6A"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5035AFBB"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episcopi, ad parte eiusdem episcopi Lucensis, pro petitionem Vuibodi venerabili episcopi</w:t>
      </w:r>
      <w:r>
        <w:rPr>
          <w:rStyle w:val="Refdenotaalfinal"/>
          <w:rFonts w:ascii="Times New Roman" w:eastAsia="Times New Roman" w:hAnsi="Times New Roman"/>
        </w:rPr>
        <w:endnoteReference w:id="2"/>
      </w:r>
      <w:r>
        <w:rPr>
          <w:rFonts w:ascii="Times New Roman" w:eastAsia="Times New Roman" w:hAnsi="Times New Roman"/>
        </w:rPr>
        <w:t xml:space="preserve"> [… Frid]ianus</w:t>
      </w:r>
      <w:r w:rsidR="00B84418">
        <w:rPr>
          <w:rStyle w:val="Refdenotaalfinal"/>
          <w:rFonts w:ascii="Times New Roman" w:eastAsia="Times New Roman" w:hAnsi="Times New Roman"/>
        </w:rPr>
        <w:endnoteReference w:id="3"/>
      </w:r>
      <w:r>
        <w:rPr>
          <w:rFonts w:ascii="Times New Roman" w:eastAsia="Times New Roman" w:hAnsi="Times New Roman"/>
        </w:rPr>
        <w:t xml:space="preserve"> confessor Christi requiescit in corpore et alia Sancti Silvestri</w:t>
      </w:r>
      <w:r>
        <w:rPr>
          <w:rStyle w:val="Refdenotaalfinal"/>
          <w:rFonts w:ascii="Times New Roman" w:eastAsia="Times New Roman" w:hAnsi="Times New Roman"/>
        </w:rPr>
        <w:endnoteReference w:id="4"/>
      </w:r>
      <w:r>
        <w:rPr>
          <w:rFonts w:ascii="Times New Roman" w:eastAsia="Times New Roman" w:hAnsi="Times New Roman"/>
          <w:color w:val="EE0000"/>
        </w:rPr>
        <w:t xml:space="preserve"> </w:t>
      </w:r>
      <w:r>
        <w:rPr>
          <w:rFonts w:ascii="Times New Roman" w:eastAsia="Times New Roman" w:hAnsi="Times New Roman"/>
        </w:rPr>
        <w:t>quod de ipso suo episcopio ablatas fuissent, cum omnibus suis [appenditiis, id est curtibus edificiis mancipiis agri]s pascuis, silvis et inviis, aquis aquarumque, decursibus egressibus et regressibus, mobilibus et inmobilibus adque cum universis que ad ea[sdem ecclesias iure et legaliter pertinere debeant], quatenus in perpetuo sine ulla contraditione iam dicte ecclesie sedis Lucensis permansisset potestatem, nullo umquam suis [… insurger]e ausas fuerit, fuisset composituros libras quadraginta auri, medietatem idem episcopi et medietatem suique palatio</w:t>
      </w:r>
      <w:r>
        <w:rPr>
          <w:rStyle w:val="Refdenotaalfinal"/>
          <w:rFonts w:ascii="Times New Roman" w:eastAsia="Times New Roman" w:hAnsi="Times New Roman"/>
        </w:rPr>
        <w:endnoteReference w:customMarkFollows="1" w:id="5"/>
        <w:t>a</w:t>
      </w:r>
      <w:r>
        <w:rPr>
          <w:rFonts w:ascii="Times New Roman" w:eastAsia="Times New Roman" w:hAnsi="Times New Roman"/>
        </w:rPr>
        <w:t>. In alio namque[… Ka]rolus rex</w:t>
      </w:r>
      <w:r>
        <w:rPr>
          <w:rStyle w:val="Refdenotaalfinal"/>
          <w:rFonts w:ascii="Times New Roman" w:eastAsia="Times New Roman" w:hAnsi="Times New Roman"/>
        </w:rPr>
        <w:endnoteReference w:id="6"/>
      </w:r>
      <w:r>
        <w:rPr>
          <w:rFonts w:ascii="Times New Roman" w:eastAsia="Times New Roman" w:hAnsi="Times New Roman"/>
        </w:rPr>
        <w:t xml:space="preserve"> solidavit et confirmavit Gherardi, sancte Lucensis ecclesie episcopus</w:t>
      </w:r>
      <w:r>
        <w:rPr>
          <w:rStyle w:val="Refdenotaalfinal"/>
          <w:rFonts w:ascii="Times New Roman" w:eastAsia="Times New Roman" w:hAnsi="Times New Roman"/>
        </w:rPr>
        <w:endnoteReference w:id="7"/>
      </w:r>
      <w:r>
        <w:rPr>
          <w:rFonts w:ascii="Times New Roman" w:eastAsia="Times New Roman" w:hAnsi="Times New Roman"/>
        </w:rPr>
        <w:t>, preceptum quas domnus Karlomanno</w:t>
      </w:r>
      <w:r>
        <w:rPr>
          <w:rStyle w:val="Refdenotaalfinal"/>
          <w:rFonts w:ascii="Times New Roman" w:eastAsia="Times New Roman" w:hAnsi="Times New Roman"/>
        </w:rPr>
        <w:endnoteReference w:id="8"/>
      </w:r>
      <w:r>
        <w:rPr>
          <w:rFonts w:ascii="Times New Roman" w:eastAsia="Times New Roman" w:hAnsi="Times New Roman"/>
        </w:rPr>
        <w:t xml:space="preserve"> eiusdem episcopi Lucensis redd[…] de ipso episcopio iuste ablatas fuissent, cum omnia ad eas pertinentibus, pro petitiones Liutuardi venerabilem episcopum</w:t>
      </w:r>
      <w:r>
        <w:rPr>
          <w:rStyle w:val="Refdenotaalfinal"/>
          <w:rFonts w:ascii="Times New Roman" w:eastAsia="Times New Roman" w:hAnsi="Times New Roman"/>
        </w:rPr>
        <w:endnoteReference w:id="9"/>
      </w:r>
      <w:r>
        <w:rPr>
          <w:rFonts w:ascii="Times New Roman" w:eastAsia="Times New Roman" w:hAnsi="Times New Roman"/>
        </w:rPr>
        <w:t xml:space="preserve"> et Berengarii comite[m</w:t>
      </w:r>
      <w:r>
        <w:rPr>
          <w:rStyle w:val="Refdenotaalfinal"/>
          <w:rFonts w:ascii="Times New Roman" w:eastAsia="Times New Roman" w:hAnsi="Times New Roman"/>
        </w:rPr>
        <w:endnoteReference w:id="10"/>
      </w:r>
      <w:r>
        <w:rPr>
          <w:rFonts w:ascii="Times New Roman" w:eastAsia="Times New Roman" w:hAnsi="Times New Roman"/>
        </w:rPr>
        <w:t xml:space="preserve"> …]re sueque mercedis anime conscribi fecisset. Et qui hoc contradixisset et conposuisset auro libras quadraginta, medietatem iam dicte […]</w:t>
      </w:r>
      <w:r>
        <w:rPr>
          <w:rStyle w:val="Refdenotaalfinal"/>
          <w:rFonts w:ascii="Times New Roman" w:eastAsia="Times New Roman" w:hAnsi="Times New Roman"/>
        </w:rPr>
        <w:endnoteReference w:customMarkFollows="1" w:id="11"/>
        <w:t>b</w:t>
      </w:r>
      <w:r>
        <w:rPr>
          <w:rFonts w:ascii="Times New Roman" w:eastAsia="Times New Roman" w:hAnsi="Times New Roman"/>
        </w:rPr>
        <w:t xml:space="preserve"> inter cetera qualiter domnus Berengarius rex</w:t>
      </w:r>
      <w:r>
        <w:rPr>
          <w:rStyle w:val="Refdenotaalfinal"/>
          <w:rFonts w:ascii="Times New Roman" w:eastAsia="Times New Roman" w:hAnsi="Times New Roman"/>
        </w:rPr>
        <w:endnoteReference w:id="12"/>
      </w:r>
      <w:r>
        <w:rPr>
          <w:rFonts w:ascii="Times New Roman" w:eastAsia="Times New Roman" w:hAnsi="Times New Roman"/>
        </w:rPr>
        <w:t>, pro petitionem Bertile regine coniugi sue</w:t>
      </w:r>
      <w:r>
        <w:rPr>
          <w:rStyle w:val="Refdenotaalfinal"/>
          <w:rFonts w:ascii="Times New Roman" w:eastAsia="Times New Roman" w:hAnsi="Times New Roman"/>
        </w:rPr>
        <w:endnoteReference w:id="13"/>
      </w:r>
      <w:r>
        <w:rPr>
          <w:rFonts w:ascii="Times New Roman" w:eastAsia="Times New Roman" w:hAnsi="Times New Roman"/>
        </w:rPr>
        <w:t xml:space="preserve"> et Litoardi ecclesie Comensis episcopus archichancellarii sui</w:t>
      </w:r>
      <w:r>
        <w:rPr>
          <w:rStyle w:val="Refdenotaalfinal"/>
          <w:rFonts w:ascii="Times New Roman" w:eastAsia="Times New Roman" w:hAnsi="Times New Roman"/>
        </w:rPr>
        <w:endnoteReference w:id="14"/>
      </w:r>
      <w:r>
        <w:rPr>
          <w:rFonts w:ascii="Times New Roman" w:eastAsia="Times New Roman" w:hAnsi="Times New Roman"/>
        </w:rPr>
        <w:t>, concessi[t … e]cclesiam Sancti Vincentii et ecclesiam Sancti Silvestri cum omnibus rebus et familiis utriusque sexsus, movilibus et inmovilibus ad eas pertinentibus […]pi iam dictas ecclesias, cum omnia ad eas pertinentibus, tradiderunt et confirmaverunt in perpetuum ipsas ecclesias Sancti Vincentii et Sancti Silvestri, cum omn[ibus …] contraditionem summota inquietudinem. Et si quis hoc contradicxisset centum libras auri conposuisset, medietatem iam dicti episcopio et me[dietatem … pro]prias firmatas et a suorum anulos subter sigillatas et ad publicis cancellariis scriptas, emissos namque per regnorum et indictione</w:t>
      </w:r>
      <w:r>
        <w:rPr>
          <w:rStyle w:val="Refdenotaalfinal"/>
          <w:rFonts w:ascii="Times New Roman" w:eastAsia="Times New Roman" w:hAnsi="Times New Roman"/>
        </w:rPr>
        <w:endnoteReference w:customMarkFollows="1" w:id="15"/>
        <w:t>c</w:t>
      </w:r>
      <w:r>
        <w:rPr>
          <w:rFonts w:ascii="Times New Roman" w:eastAsia="Times New Roman" w:hAnsi="Times New Roman"/>
        </w:rPr>
        <w:t>. Preceptoras [… iudi]ces et auditores ob quam causam ipsos ostenderent preceptas. Qui et ipsi Petrus episcopus</w:t>
      </w:r>
      <w:r>
        <w:rPr>
          <w:rStyle w:val="Refdenotaalfinal"/>
          <w:rFonts w:ascii="Times New Roman" w:eastAsia="Times New Roman" w:hAnsi="Times New Roman"/>
        </w:rPr>
        <w:endnoteReference w:id="16"/>
      </w:r>
      <w:r>
        <w:rPr>
          <w:rFonts w:ascii="Times New Roman" w:eastAsia="Times New Roman" w:hAnsi="Times New Roman"/>
        </w:rPr>
        <w:t xml:space="preserve"> et Heghenulfus iudex et avocatus</w:t>
      </w:r>
      <w:r>
        <w:rPr>
          <w:rStyle w:val="Refdenotaalfinal"/>
          <w:rFonts w:ascii="Times New Roman" w:eastAsia="Times New Roman" w:hAnsi="Times New Roman"/>
        </w:rPr>
        <w:endnoteReference w:id="17"/>
      </w:r>
      <w:r>
        <w:rPr>
          <w:rFonts w:ascii="Times New Roman" w:eastAsia="Times New Roman" w:hAnsi="Times New Roman"/>
          <w:color w:val="EE0000"/>
        </w:rPr>
        <w:t xml:space="preserve"> </w:t>
      </w:r>
      <w:r>
        <w:rPr>
          <w:rFonts w:ascii="Times New Roman" w:eastAsia="Times New Roman" w:hAnsi="Times New Roman"/>
        </w:rPr>
        <w:t>dixserunt: “Vere ideo [… epi]scopii Lucensis, preceptoras istas silens aut ocultas vel conludiosas abuissent vel detenuissent, et volumus scire ab isto Iohannes iudice et avoc[ato</w:t>
      </w:r>
      <w:r>
        <w:rPr>
          <w:rStyle w:val="Refdenotaalfinal"/>
          <w:rFonts w:ascii="Times New Roman" w:eastAsia="Times New Roman" w:hAnsi="Times New Roman"/>
        </w:rPr>
        <w:endnoteReference w:id="18"/>
      </w:r>
      <w:r>
        <w:rPr>
          <w:rFonts w:ascii="Times New Roman" w:eastAsia="Times New Roman" w:hAnsi="Times New Roman"/>
          <w:color w:val="EE0000"/>
          <w:vertAlign w:val="superscript"/>
        </w:rPr>
        <w:t xml:space="preserve"> </w:t>
      </w:r>
      <w:r>
        <w:rPr>
          <w:rFonts w:ascii="Times New Roman" w:eastAsia="Times New Roman" w:hAnsi="Times New Roman"/>
        </w:rPr>
        <w:t>…]tit, si aliquit adversus istas preceptoras dicere vel contradicere vellis aut si iam dictas ecclesias cum omnibus ad eas pertinentibus qua[… p]arti domni regi querere vel si ipsas preceptoras bonas aut verax essent a non”. Qui et ipse Iohannes iudex et avocatus dicxit et professus est: “[…] bonas et verax sunt, et ecclesias ipsas cum omnibus rebus movilibus et inmovilibus seo familiis, sicut in iam dictas le[g]itur preceptas, da parte p[…] pertinentes, propria eiusdem episcopii Lucensis esset debent”. Similique et ipsi Iohannes episcopus</w:t>
      </w:r>
      <w:r>
        <w:rPr>
          <w:rStyle w:val="Refdenotaalfinal"/>
          <w:rFonts w:ascii="Times New Roman" w:eastAsia="Times New Roman" w:hAnsi="Times New Roman"/>
        </w:rPr>
        <w:endnoteReference w:id="19"/>
      </w:r>
      <w:r>
        <w:rPr>
          <w:rFonts w:ascii="Times New Roman" w:eastAsia="Times New Roman" w:hAnsi="Times New Roman"/>
        </w:rPr>
        <w:t xml:space="preserve"> et Aderardus comis et missi domni regi</w:t>
      </w:r>
      <w:r>
        <w:rPr>
          <w:rStyle w:val="Refdenotaalfinal"/>
          <w:rFonts w:ascii="Times New Roman" w:eastAsia="Times New Roman" w:hAnsi="Times New Roman"/>
        </w:rPr>
        <w:endnoteReference w:id="20"/>
      </w:r>
      <w:r>
        <w:rPr>
          <w:rFonts w:ascii="Times New Roman" w:eastAsia="Times New Roman" w:hAnsi="Times New Roman"/>
        </w:rPr>
        <w:t xml:space="preserve"> omnia […] pro […] deliberatum fuisset, paruit nobis, corum supra iudices et auditores, esse recte et iudicavimus iuxta eorum alterchationem, et eidem Iohanni vocatori seo […]um omnia ad eas pertinentibus, quas in ipsas legitur preceptas, a parte eiusdem sui episcopii Lucensis abere et detinere deberet. Et ipse Iohannes […] hanc notitia pro securitatem </w:t>
      </w:r>
      <w:r>
        <w:rPr>
          <w:rFonts w:ascii="Times New Roman" w:eastAsia="Times New Roman" w:hAnsi="Times New Roman"/>
        </w:rPr>
        <w:lastRenderedPageBreak/>
        <w:t>ipsius episcopii quod monuimus. Quidem et ego Sebastianus notarius domni regi</w:t>
      </w:r>
      <w:r>
        <w:rPr>
          <w:rStyle w:val="Refdenotaalfinal"/>
          <w:rFonts w:ascii="Times New Roman" w:eastAsia="Times New Roman" w:hAnsi="Times New Roman"/>
        </w:rPr>
        <w:endnoteReference w:id="21"/>
      </w:r>
      <w:r>
        <w:rPr>
          <w:rFonts w:ascii="Times New Roman" w:eastAsia="Times New Roman" w:hAnsi="Times New Roman"/>
        </w:rPr>
        <w:t>, ex iussione suprascripti missi et ammon[itione … tertio]decimo, mense madio, indictione tertia</w:t>
      </w:r>
      <w:r>
        <w:rPr>
          <w:rStyle w:val="Refdenotaalfinal"/>
          <w:rFonts w:ascii="Times New Roman" w:eastAsia="Times New Roman" w:hAnsi="Times New Roman"/>
        </w:rPr>
        <w:endnoteReference w:customMarkFollows="1" w:id="22"/>
        <w:t>d</w:t>
      </w:r>
      <w:r>
        <w:rPr>
          <w:rFonts w:ascii="Times New Roman" w:eastAsia="Times New Roman" w:hAnsi="Times New Roman"/>
        </w:rPr>
        <w:t>. Eratque notitia ipsa ab ipsos missos et ab ipsos iudice firmata seo ceteros hominem. Et dum ipso precep[tum…] et misso domni regis dicere de verbo et iussionem domni regis: “Vos omnes qui hic adestis, si vobis recte videtur de ambas ipsas ecclesias Sancti Vin[centii …]”. […] inibi aderant respondentes dixerunt: “Nobis recte videtur quodquod ipse domno rex fecit et constituit ad pars ipsum episcopii […] bon[… ep]iscopatui Sancti Martini”. Chur ipse Hodelbertus episcopus et misso domni regis</w:t>
      </w:r>
      <w:r>
        <w:rPr>
          <w:rStyle w:val="Refdenotaalfinal"/>
          <w:rFonts w:ascii="Times New Roman" w:eastAsia="Times New Roman" w:hAnsi="Times New Roman"/>
        </w:rPr>
        <w:endnoteReference w:id="23"/>
      </w:r>
      <w:r>
        <w:rPr>
          <w:rFonts w:ascii="Times New Roman" w:eastAsia="Times New Roman" w:hAnsi="Times New Roman"/>
        </w:rPr>
        <w:t>, manibus suis tenentes ipso precepto et ipsa notitia iudic[ati …], manibus suis misit et dedit et revestivit in manus iamfati domni Petri episcopi, ut ambas ipsas ecclesias cum earum pertinentiis, ab[… noti]tia iudicati. Hoc factum est anno regni domni nostri Berengarii, gratia Dei rex, Deo propitio tertiodecimo, octavo idus Iunii, indictione tertia. [... + Ego Viventius archipresbiter e]t vicedomino</w:t>
      </w:r>
      <w:r>
        <w:rPr>
          <w:rStyle w:val="Refdenotaalfinal"/>
          <w:rFonts w:ascii="Times New Roman" w:eastAsia="Times New Roman" w:hAnsi="Times New Roman"/>
        </w:rPr>
        <w:endnoteReference w:id="24"/>
      </w:r>
      <w:r>
        <w:rPr>
          <w:rFonts w:ascii="Times New Roman" w:eastAsia="Times New Roman" w:hAnsi="Times New Roman"/>
        </w:rPr>
        <w:t xml:space="preserve"> ibi fui. […] ibi fui. [… e]t cardinalis ibi fui. [… cardinali]s ibi fui. […]is presbiter ibi fui. + Ego Andreas diaconus et cardinalis</w:t>
      </w:r>
      <w:r>
        <w:rPr>
          <w:rStyle w:val="Refdenotaalfinal"/>
          <w:rFonts w:ascii="Times New Roman" w:eastAsia="Times New Roman" w:hAnsi="Times New Roman"/>
        </w:rPr>
        <w:endnoteReference w:id="25"/>
      </w:r>
      <w:r>
        <w:rPr>
          <w:rFonts w:ascii="Times New Roman" w:eastAsia="Times New Roman" w:hAnsi="Times New Roman"/>
        </w:rPr>
        <w:t xml:space="preserve"> ibi fui. + Ego Isalfridi</w:t>
      </w:r>
      <w:r>
        <w:rPr>
          <w:rStyle w:val="Refdenotaalfinal"/>
          <w:rFonts w:ascii="Times New Roman" w:eastAsia="Times New Roman" w:hAnsi="Times New Roman"/>
        </w:rPr>
        <w:endnoteReference w:id="26"/>
      </w:r>
      <w:r>
        <w:rPr>
          <w:rFonts w:ascii="Times New Roman" w:eastAsia="Times New Roman" w:hAnsi="Times New Roman"/>
        </w:rPr>
        <w:t xml:space="preserve"> ibi fui. + Ego Cunimundo</w:t>
      </w:r>
      <w:r>
        <w:rPr>
          <w:rStyle w:val="Refdenotaalfinal"/>
          <w:rFonts w:ascii="Times New Roman" w:eastAsia="Times New Roman" w:hAnsi="Times New Roman"/>
        </w:rPr>
        <w:endnoteReference w:id="27"/>
      </w:r>
      <w:r>
        <w:rPr>
          <w:rFonts w:ascii="Times New Roman" w:eastAsia="Times New Roman" w:hAnsi="Times New Roman"/>
        </w:rPr>
        <w:t xml:space="preserve"> ibi fui. + Ego Fraolmi ibi fui. + Ego Fraolmi</w:t>
      </w:r>
      <w:r>
        <w:rPr>
          <w:rStyle w:val="Refdenotaalfinal"/>
          <w:rFonts w:ascii="Times New Roman" w:eastAsia="Times New Roman" w:hAnsi="Times New Roman"/>
        </w:rPr>
        <w:endnoteReference w:id="28"/>
      </w:r>
      <w:r>
        <w:rPr>
          <w:rFonts w:ascii="Times New Roman" w:eastAsia="Times New Roman" w:hAnsi="Times New Roman"/>
        </w:rPr>
        <w:t xml:space="preserve"> ibi fui.</w:t>
      </w:r>
    </w:p>
    <w:p w14:paraId="36A37013" w14:textId="77777777" w:rsidR="004B2368" w:rsidRDefault="004B2368" w:rsidP="004B23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p>
    <w:p w14:paraId="370F6C42"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FD1805" w14:textId="77777777" w:rsidR="00B84418" w:rsidRDefault="00B84418" w:rsidP="004B2368">
      <w:r>
        <w:separator/>
      </w:r>
    </w:p>
  </w:endnote>
  <w:endnote w:type="continuationSeparator" w:id="0">
    <w:p w14:paraId="2772B23A" w14:textId="77777777" w:rsidR="00B84418" w:rsidRDefault="00B84418" w:rsidP="004B2368">
      <w:r>
        <w:continuationSeparator/>
      </w:r>
    </w:p>
  </w:endnote>
  <w:endnote w:id="1">
    <w:p w14:paraId="71F64C9E" w14:textId="77777777" w:rsidR="00B84418" w:rsidRDefault="00B84418" w:rsidP="004B2368">
      <w:pPr>
        <w:pStyle w:val="Textonotaalfinal"/>
      </w:pPr>
      <w:r>
        <w:rPr>
          <w:rStyle w:val="Refdenotaalfinal"/>
        </w:rPr>
        <w:endnoteRef/>
      </w:r>
      <w:r>
        <w:t xml:space="preserve"> Il placito si tenne con buona probabilità a Lucca (Tomei 2014).</w:t>
      </w:r>
    </w:p>
  </w:endnote>
  <w:endnote w:id="2">
    <w:p w14:paraId="10E649FB" w14:textId="77777777" w:rsidR="00B84418" w:rsidRDefault="00B84418" w:rsidP="004B2368">
      <w:pPr>
        <w:pStyle w:val="Textonotaalfinal"/>
      </w:pPr>
      <w:r>
        <w:rPr>
          <w:rStyle w:val="Refdenotaalfinal"/>
        </w:rPr>
        <w:endnoteRef/>
      </w:r>
      <w:r>
        <w:t xml:space="preserve"> </w:t>
      </w:r>
      <w:r>
        <w:rPr>
          <w:rFonts w:eastAsia="Times New Roman"/>
        </w:rPr>
        <w:t>Wibodo, vescovo di Parma dall’855 all’895 (MacLean 2003, pp. 182-185).</w:t>
      </w:r>
    </w:p>
  </w:endnote>
  <w:endnote w:id="3">
    <w:p w14:paraId="6DB0C9F8" w14:textId="77777777" w:rsidR="00B84418" w:rsidRDefault="00B84418" w:rsidP="00B84418">
      <w:pPr>
        <w:pStyle w:val="Textonotaalfinal"/>
      </w:pPr>
      <w:r>
        <w:rPr>
          <w:rStyle w:val="Refdenotaalfinal"/>
        </w:rPr>
        <w:endnoteRef/>
      </w:r>
      <w:r>
        <w:t xml:space="preserve"> </w:t>
      </w:r>
      <w:r>
        <w:rPr>
          <w:rFonts w:eastAsia="Times New Roman"/>
          <w:color w:val="000000"/>
        </w:rPr>
        <w:t xml:space="preserve">La chiesa originariamente dedicata a San Vincenzo, che custodiva il corpo del confessore Frediano, vescovo lucchese del VI secolo, sorgeva a nord della cinta muraria, fuori dall’omonima porta. Rifondata come cenobio maschile da Faulo, maggiordomo dei re Pertarito e Cuniperto, il 20 gennaio 685, dal terzo quarto del secolo VIII era passata sotto la diretta amministrazione dal vescovato e, come San Silvestro, era officiata da esponenti dell’alto clero cittadino. Nel corso del IX secolo fu rivendicata </w:t>
      </w:r>
      <w:r>
        <w:rPr>
          <w:rFonts w:eastAsia="Times New Roman"/>
          <w:i/>
          <w:color w:val="000000"/>
        </w:rPr>
        <w:t xml:space="preserve">ad partem palatii </w:t>
      </w:r>
      <w:r>
        <w:rPr>
          <w:rFonts w:eastAsia="Times New Roman"/>
          <w:color w:val="000000"/>
        </w:rPr>
        <w:t>dal vassallo regio Adugrimo e sottratta al controllo vescovile (Schneider 1914, pp. 310-312; Castagnetti 2010, pp. 223-224).</w:t>
      </w:r>
    </w:p>
  </w:endnote>
  <w:endnote w:id="4">
    <w:p w14:paraId="32411A3E" w14:textId="77777777" w:rsidR="00B84418" w:rsidRDefault="00B84418" w:rsidP="004B2368">
      <w:pPr>
        <w:pStyle w:val="Textonotaalfinal"/>
      </w:pPr>
      <w:r>
        <w:rPr>
          <w:rStyle w:val="Refdenotaalfinal"/>
        </w:rPr>
        <w:endnoteRef/>
      </w:r>
      <w:r>
        <w:t xml:space="preserve"> </w:t>
      </w:r>
      <w:r>
        <w:rPr>
          <w:rFonts w:eastAsia="Times New Roman"/>
          <w:color w:val="000000"/>
        </w:rPr>
        <w:t>Il cenobio maschile e senodochio di San Silvestro, fondato nel marzo 720 da un gruppo di 12 persone, sorgeva in Placule, nel suburbio meridionale della citt</w:t>
      </w:r>
      <w:r>
        <w:rPr>
          <w:rFonts w:eastAsia="Times New Roman"/>
        </w:rPr>
        <w:t>à di Lucca</w:t>
      </w:r>
      <w:r>
        <w:rPr>
          <w:rFonts w:eastAsia="Times New Roman"/>
          <w:color w:val="000000"/>
        </w:rPr>
        <w:t>, fuori della porta di San Pietro. Dalla fine del secolo VIII è attestato come chiesa secolare, amministrata dal vescovato e officiata da membri del corpo canonicale della chiesa matrice di San Martino. Incamerata dal fisco, dagli anni Quaranta agli anni Settanta del IX secolo fu tenuta in beneficio dal vassallo imperiale Ghiselmario (Schneider 1914, pp. 310-312; Castagnetti 2010, pp. 255-257; Stoffella 2014).</w:t>
      </w:r>
    </w:p>
  </w:endnote>
  <w:endnote w:id="5">
    <w:p w14:paraId="06988CC7" w14:textId="77777777" w:rsidR="00B84418" w:rsidRDefault="00B84418" w:rsidP="004B2368">
      <w:pPr>
        <w:pStyle w:val="Textonotaalfinal"/>
      </w:pPr>
      <w:r>
        <w:rPr>
          <w:rStyle w:val="Refdenotaalfinal"/>
        </w:rPr>
        <w:t>a</w:t>
      </w:r>
      <w:r>
        <w:t xml:space="preserve"> </w:t>
      </w:r>
      <w:r>
        <w:rPr>
          <w:rFonts w:eastAsia="Times New Roman"/>
        </w:rPr>
        <w:t>DDKn, n. 10.</w:t>
      </w:r>
    </w:p>
  </w:endnote>
  <w:endnote w:id="6">
    <w:p w14:paraId="255D5003" w14:textId="77777777" w:rsidR="00B84418" w:rsidRDefault="00B84418" w:rsidP="004B2368">
      <w:pPr>
        <w:pStyle w:val="Textonotaalfinal"/>
      </w:pPr>
      <w:r>
        <w:rPr>
          <w:rStyle w:val="Refdenotaalfinal"/>
        </w:rPr>
        <w:endnoteRef/>
      </w:r>
      <w:r>
        <w:t xml:space="preserve"> </w:t>
      </w:r>
      <w:r>
        <w:rPr>
          <w:rFonts w:eastAsia="Times New Roman"/>
        </w:rPr>
        <w:t>Carlo il Grosso, terzogenito di Ludovico il Germanico: re d’Italia dall’879 all’887.</w:t>
      </w:r>
    </w:p>
  </w:endnote>
  <w:endnote w:id="7">
    <w:p w14:paraId="07D352E4" w14:textId="77777777" w:rsidR="00B84418" w:rsidRDefault="00B84418" w:rsidP="004B2368">
      <w:pPr>
        <w:pStyle w:val="Textonotaalfinal"/>
      </w:pPr>
      <w:r>
        <w:rPr>
          <w:rStyle w:val="Refdenotaalfinal"/>
        </w:rPr>
        <w:endnoteRef/>
      </w:r>
      <w:r>
        <w:t xml:space="preserve"> </w:t>
      </w:r>
      <w:r>
        <w:rPr>
          <w:rFonts w:eastAsia="Times New Roman"/>
        </w:rPr>
        <w:t>Gherardo I, vescovo di Lucca dall’870 all’895 (</w:t>
      </w:r>
      <w:r>
        <w:rPr>
          <w:rFonts w:eastAsia="Times New Roman"/>
          <w:color w:val="000000"/>
        </w:rPr>
        <w:t>Schwarzmaier 1972, pp. 97-100</w:t>
      </w:r>
      <w:r>
        <w:rPr>
          <w:rFonts w:eastAsia="Times New Roman"/>
        </w:rPr>
        <w:t>).</w:t>
      </w:r>
    </w:p>
  </w:endnote>
  <w:endnote w:id="8">
    <w:p w14:paraId="511FB976" w14:textId="77777777" w:rsidR="00B84418" w:rsidRDefault="00B84418" w:rsidP="004B2368">
      <w:pPr>
        <w:pStyle w:val="Textonotaalfinal"/>
      </w:pPr>
      <w:r>
        <w:rPr>
          <w:rStyle w:val="Refdenotaalfinal"/>
        </w:rPr>
        <w:endnoteRef/>
      </w:r>
      <w:r>
        <w:t xml:space="preserve"> </w:t>
      </w:r>
      <w:r>
        <w:rPr>
          <w:rFonts w:eastAsia="Times New Roman"/>
        </w:rPr>
        <w:t>Carlomanno, primogenito di Ludovico il Germanico: re d’Italia dall’877 all’879.</w:t>
      </w:r>
    </w:p>
  </w:endnote>
  <w:endnote w:id="9">
    <w:p w14:paraId="491ACC64" w14:textId="77777777" w:rsidR="00B84418" w:rsidRDefault="00B84418" w:rsidP="004B2368">
      <w:pPr>
        <w:pStyle w:val="Textonotaalfinal"/>
      </w:pPr>
      <w:r>
        <w:rPr>
          <w:rStyle w:val="Refdenotaalfinal"/>
        </w:rPr>
        <w:endnoteRef/>
      </w:r>
      <w:r>
        <w:t xml:space="preserve"> </w:t>
      </w:r>
      <w:r>
        <w:rPr>
          <w:rFonts w:eastAsia="Times New Roman"/>
        </w:rPr>
        <w:t>Liutwardo, arcicancelliere per Carlo il Grosso dall’878 all’887 e vescovo di Vercelli dall’879 al 900 (Scaravelli 2005).</w:t>
      </w:r>
    </w:p>
  </w:endnote>
  <w:endnote w:id="10">
    <w:p w14:paraId="24200114" w14:textId="77777777" w:rsidR="00B84418" w:rsidRDefault="00B84418" w:rsidP="004B2368">
      <w:pPr>
        <w:pStyle w:val="Textonotaalfinal"/>
      </w:pPr>
      <w:r>
        <w:rPr>
          <w:rStyle w:val="Refdenotaalfinal"/>
        </w:rPr>
        <w:endnoteRef/>
      </w:r>
      <w:r>
        <w:t xml:space="preserve"> </w:t>
      </w:r>
      <w:r>
        <w:rPr>
          <w:rFonts w:eastAsia="Times New Roman"/>
        </w:rPr>
        <w:t>Berengario, dall’874 duca e marchese del Friuli, poi re d’Italia (dall’887, seppur a fasi alterne) e imperatore (915-924).</w:t>
      </w:r>
    </w:p>
  </w:endnote>
  <w:endnote w:id="11">
    <w:p w14:paraId="7AD6338E" w14:textId="77777777" w:rsidR="00B84418" w:rsidRDefault="00B84418" w:rsidP="004B2368">
      <w:pPr>
        <w:pStyle w:val="Textonotaalfinal"/>
      </w:pPr>
      <w:r>
        <w:rPr>
          <w:rStyle w:val="Refdenotaalfinal"/>
        </w:rPr>
        <w:t>b</w:t>
      </w:r>
      <w:r>
        <w:t xml:space="preserve"> </w:t>
      </w:r>
      <w:r>
        <w:t>Si desidera.</w:t>
      </w:r>
    </w:p>
  </w:endnote>
  <w:endnote w:id="12">
    <w:p w14:paraId="0684BFE2" w14:textId="77777777" w:rsidR="00B84418" w:rsidRDefault="00B84418" w:rsidP="004B2368">
      <w:pPr>
        <w:pStyle w:val="Textonotaalfinal"/>
      </w:pPr>
      <w:r>
        <w:rPr>
          <w:rStyle w:val="Refdenotaalfinal"/>
        </w:rPr>
        <w:endnoteRef/>
      </w:r>
      <w:r>
        <w:t xml:space="preserve"> </w:t>
      </w:r>
      <w:r>
        <w:rPr>
          <w:rFonts w:eastAsia="Times New Roman"/>
        </w:rPr>
        <w:t>Si veda la nota 9.</w:t>
      </w:r>
    </w:p>
  </w:endnote>
  <w:endnote w:id="13">
    <w:p w14:paraId="2DC1E6CB" w14:textId="77777777" w:rsidR="00B84418" w:rsidRDefault="00B84418" w:rsidP="004B2368">
      <w:pPr>
        <w:pStyle w:val="Textonotaalfinal"/>
      </w:pPr>
      <w:r>
        <w:rPr>
          <w:rStyle w:val="Refdenotaalfinal"/>
        </w:rPr>
        <w:endnoteRef/>
      </w:r>
      <w:r>
        <w:t xml:space="preserve"> </w:t>
      </w:r>
      <w:r>
        <w:rPr>
          <w:rFonts w:eastAsia="Times New Roman"/>
        </w:rPr>
        <w:t>Bertilla, moglie di Berengario, marchese del Friuli e re d'Italia; figlia di Suppone II, conte di Parma, e di Berta, figlia di Vifredo I, conte di Piacenza (Lazzari 2005).</w:t>
      </w:r>
    </w:p>
  </w:endnote>
  <w:endnote w:id="14">
    <w:p w14:paraId="02BFBB3D" w14:textId="77777777" w:rsidR="00B84418" w:rsidRDefault="00B84418" w:rsidP="004B2368">
      <w:pPr>
        <w:pStyle w:val="Textonotaalfinal"/>
      </w:pPr>
      <w:r>
        <w:rPr>
          <w:rStyle w:val="Refdenotaalfinal"/>
        </w:rPr>
        <w:endnoteRef/>
      </w:r>
      <w:r>
        <w:t xml:space="preserve"> </w:t>
      </w:r>
      <w:r>
        <w:rPr>
          <w:rFonts w:eastAsia="Times New Roman"/>
        </w:rPr>
        <w:t xml:space="preserve">Liutwardo, vescovo di Como dall’887 al 905 (e forse ancora nel 915); dal 900 arcicancelliere per l’imperatore Ludovico III (Bedina 2005). Contrariamente a quanto già ipotizzato </w:t>
      </w:r>
      <w:r>
        <w:rPr>
          <w:rFonts w:eastAsia="Times New Roman"/>
          <w:color w:val="000000"/>
        </w:rPr>
        <w:t>da Schiaparelli 1902, p. 10</w:t>
      </w:r>
      <w:r>
        <w:rPr>
          <w:rFonts w:eastAsia="Times New Roman"/>
        </w:rPr>
        <w:t xml:space="preserve">, </w:t>
      </w:r>
      <w:r>
        <w:rPr>
          <w:rFonts w:eastAsia="Times New Roman"/>
          <w:color w:val="000000"/>
        </w:rPr>
        <w:t>questa attestazione lo qualifica chiaramente come arcicancelliere anche per conto di Berengario in un periodo compreso fra l’11 marzo e il 12 ottobre del 900 (</w:t>
      </w:r>
      <w:r>
        <w:rPr>
          <w:rFonts w:eastAsia="Times New Roman"/>
        </w:rPr>
        <w:t>Tomei 2014</w:t>
      </w:r>
      <w:r>
        <w:rPr>
          <w:rFonts w:eastAsia="Times New Roman"/>
          <w:color w:val="000000"/>
        </w:rPr>
        <w:t>).</w:t>
      </w:r>
    </w:p>
  </w:endnote>
  <w:endnote w:id="15">
    <w:p w14:paraId="107EBD33" w14:textId="77777777" w:rsidR="00B84418" w:rsidRDefault="00B84418" w:rsidP="004B2368">
      <w:pPr>
        <w:pStyle w:val="Textonotaalfinal"/>
      </w:pPr>
      <w:r>
        <w:rPr>
          <w:rStyle w:val="Refdenotaalfinal"/>
        </w:rPr>
        <w:t>c</w:t>
      </w:r>
      <w:r>
        <w:t xml:space="preserve"> </w:t>
      </w:r>
      <w:r>
        <w:t>Si desidera.</w:t>
      </w:r>
    </w:p>
  </w:endnote>
  <w:endnote w:id="16">
    <w:p w14:paraId="692CFD2F" w14:textId="77777777" w:rsidR="00B84418" w:rsidRDefault="00B84418" w:rsidP="004B2368">
      <w:pPr>
        <w:pStyle w:val="Textonotaalfinal"/>
      </w:pPr>
      <w:r>
        <w:rPr>
          <w:rStyle w:val="Refdenotaalfinal"/>
        </w:rPr>
        <w:endnoteRef/>
      </w:r>
      <w:r>
        <w:t xml:space="preserve"> </w:t>
      </w:r>
      <w:r>
        <w:rPr>
          <w:rFonts w:eastAsia="Times New Roman"/>
        </w:rPr>
        <w:t>Pietro II, vescovo di Lucca dall’896 al 932 (</w:t>
      </w:r>
      <w:r>
        <w:rPr>
          <w:rFonts w:eastAsia="Times New Roman"/>
          <w:color w:val="000000"/>
        </w:rPr>
        <w:t>Tomei 2012, pp. 584-586</w:t>
      </w:r>
      <w:r>
        <w:rPr>
          <w:rFonts w:eastAsia="Times New Roman"/>
        </w:rPr>
        <w:t>).</w:t>
      </w:r>
    </w:p>
  </w:endnote>
  <w:endnote w:id="17">
    <w:p w14:paraId="7DF9D2A1" w14:textId="77777777" w:rsidR="00B84418" w:rsidRDefault="00B84418" w:rsidP="004B2368">
      <w:pPr>
        <w:pStyle w:val="Textonotaalfinal"/>
      </w:pPr>
      <w:r>
        <w:rPr>
          <w:rStyle w:val="Refdenotaalfinal"/>
        </w:rPr>
        <w:endnoteRef/>
      </w:r>
      <w:r>
        <w:t xml:space="preserve"> </w:t>
      </w:r>
      <w:r>
        <w:rPr>
          <w:rFonts w:eastAsia="Times New Roman"/>
        </w:rPr>
        <w:t xml:space="preserve">Il giudice Eghenulfo fu avvocato del conte Adalberto in un giudizio presieduto dal vescovo di Novara Garibaldo, </w:t>
      </w:r>
      <w:r>
        <w:rPr>
          <w:rFonts w:eastAsia="Times New Roman"/>
          <w:i/>
        </w:rPr>
        <w:t xml:space="preserve">missus </w:t>
      </w:r>
      <w:r>
        <w:rPr>
          <w:rFonts w:eastAsia="Times New Roman"/>
        </w:rPr>
        <w:t>dell’imperatore Ludovico III, a Vercelli il 9 maggio 902 (Manaresi, n. 113).</w:t>
      </w:r>
    </w:p>
  </w:endnote>
  <w:endnote w:id="18">
    <w:p w14:paraId="74127387" w14:textId="77777777" w:rsidR="00B84418" w:rsidRDefault="00B84418" w:rsidP="004B2368">
      <w:pPr>
        <w:pStyle w:val="Textonotaalfinal"/>
      </w:pPr>
      <w:r>
        <w:rPr>
          <w:rStyle w:val="Refdenotaalfinal"/>
        </w:rPr>
        <w:endnoteRef/>
      </w:r>
      <w:r>
        <w:t xml:space="preserve"> </w:t>
      </w:r>
      <w:r>
        <w:rPr>
          <w:rFonts w:eastAsia="Times New Roman"/>
        </w:rPr>
        <w:t>Il giudice del sacro palazzo Giovanni, sempre assieme al notaio regio Sebastiano, prese parte a un altro placito presieduto dal vescovo di Pavia Giovanni II, a Pavia il 4 marzo 899 (Manaresi, n. 108). Si vedano le note 16 e 18.</w:t>
      </w:r>
    </w:p>
  </w:endnote>
  <w:endnote w:id="19">
    <w:p w14:paraId="02E70ACB" w14:textId="77777777" w:rsidR="00B84418" w:rsidRDefault="00B84418" w:rsidP="004B2368">
      <w:pPr>
        <w:pStyle w:val="Textonotaalfinal"/>
      </w:pPr>
      <w:r>
        <w:rPr>
          <w:rStyle w:val="Refdenotaalfinal"/>
        </w:rPr>
        <w:endnoteRef/>
      </w:r>
      <w:r>
        <w:t xml:space="preserve"> </w:t>
      </w:r>
      <w:r>
        <w:rPr>
          <w:rFonts w:eastAsia="Times New Roman"/>
        </w:rPr>
        <w:t xml:space="preserve">Giovanni II, vescovo di Pavia dall’876 al 912 (Scaravelli 2001). Presiedette come </w:t>
      </w:r>
      <w:r>
        <w:rPr>
          <w:rFonts w:eastAsia="Times New Roman"/>
          <w:i/>
        </w:rPr>
        <w:t xml:space="preserve">missus </w:t>
      </w:r>
      <w:r>
        <w:rPr>
          <w:rFonts w:eastAsia="Times New Roman"/>
        </w:rPr>
        <w:t>di Berengario altri due placiti: il 4 marzo 899 a Pavia sentenziò a favore del monastero di San Silvestro di Nonantola (Manaresi, n. 108); in una data compresa fra 906 e 910 a Pavia, assieme al vescovo di Bergamo Adalberto, si pronunciò a favore del monastero di Sant’Ambrogio di Milano (Manaresi, n. 122).</w:t>
      </w:r>
    </w:p>
  </w:endnote>
  <w:endnote w:id="20">
    <w:p w14:paraId="7495ADE3" w14:textId="77777777" w:rsidR="00B84418" w:rsidRDefault="00B84418" w:rsidP="004B2368">
      <w:pPr>
        <w:pStyle w:val="Textonotaalfinal"/>
      </w:pPr>
      <w:r>
        <w:rPr>
          <w:rStyle w:val="Refdenotaalfinal"/>
        </w:rPr>
        <w:endnoteRef/>
      </w:r>
      <w:r>
        <w:t xml:space="preserve"> </w:t>
      </w:r>
      <w:r>
        <w:rPr>
          <w:rFonts w:eastAsia="Times New Roman"/>
        </w:rPr>
        <w:t xml:space="preserve">Potrebbe essere identificato con il marchese Adelardo, </w:t>
      </w:r>
      <w:r>
        <w:rPr>
          <w:rFonts w:eastAsia="Times New Roman"/>
          <w:i/>
        </w:rPr>
        <w:t xml:space="preserve">dilectissimus fidelis </w:t>
      </w:r>
      <w:r>
        <w:rPr>
          <w:rFonts w:eastAsia="Times New Roman"/>
        </w:rPr>
        <w:t>di Berengario, intercessore nel diploma rilasciato dal sovrano a Pavia il 23 giugno 909 in favore della chiesa di San Giovanni Domnarum di Pavia (Schiaparelli 1903, pp. 185-188).</w:t>
      </w:r>
    </w:p>
  </w:endnote>
  <w:endnote w:id="21">
    <w:p w14:paraId="2D3CDAC0" w14:textId="77777777" w:rsidR="00B84418" w:rsidRDefault="00B84418" w:rsidP="004B2368">
      <w:pPr>
        <w:pStyle w:val="Textonotaalfinal"/>
      </w:pPr>
      <w:r>
        <w:rPr>
          <w:rStyle w:val="Refdenotaalfinal"/>
        </w:rPr>
        <w:endnoteRef/>
      </w:r>
      <w:r>
        <w:t xml:space="preserve"> </w:t>
      </w:r>
      <w:r>
        <w:rPr>
          <w:rFonts w:eastAsia="Times New Roman"/>
        </w:rPr>
        <w:t>Si vedano le note 15 e 16.</w:t>
      </w:r>
    </w:p>
  </w:endnote>
  <w:endnote w:id="22">
    <w:p w14:paraId="12A0B6EB" w14:textId="77777777" w:rsidR="00B84418" w:rsidRDefault="00B84418" w:rsidP="004B2368">
      <w:pPr>
        <w:pStyle w:val="Textonotaalfinal"/>
      </w:pPr>
      <w:r>
        <w:rPr>
          <w:rStyle w:val="Refdenotaalfinal"/>
        </w:rPr>
        <w:t>d</w:t>
      </w:r>
      <w:r>
        <w:t xml:space="preserve"> </w:t>
      </w:r>
      <w:r>
        <w:t>Si desidera.</w:t>
      </w:r>
    </w:p>
  </w:endnote>
  <w:endnote w:id="23">
    <w:p w14:paraId="3A960D91" w14:textId="77777777" w:rsidR="00B84418" w:rsidRDefault="00B84418" w:rsidP="004B2368">
      <w:pPr>
        <w:pStyle w:val="Textonotaalfinal"/>
      </w:pPr>
      <w:r>
        <w:rPr>
          <w:rStyle w:val="Refdenotaalfinal"/>
        </w:rPr>
        <w:endnoteRef/>
      </w:r>
      <w:r>
        <w:t xml:space="preserve"> </w:t>
      </w:r>
      <w:r>
        <w:rPr>
          <w:rFonts w:eastAsia="Times New Roman"/>
        </w:rPr>
        <w:t>Odalberto I, vescovo di Luni dall’897 (</w:t>
      </w:r>
      <w:r>
        <w:rPr>
          <w:rFonts w:eastAsia="Times New Roman"/>
          <w:color w:val="000000"/>
        </w:rPr>
        <w:t>Puglia 1997/1998, pp. 13-21</w:t>
      </w:r>
      <w:r>
        <w:rPr>
          <w:rFonts w:eastAsia="Times New Roman"/>
        </w:rPr>
        <w:t xml:space="preserve">). Un documento pisano del 3 dicembre 958 lo ricorda, nel primo decennio del X secolo, come </w:t>
      </w:r>
      <w:r>
        <w:rPr>
          <w:rFonts w:eastAsia="Times New Roman"/>
          <w:i/>
        </w:rPr>
        <w:t xml:space="preserve">missus discurrens per totam Tusciam </w:t>
      </w:r>
      <w:r>
        <w:rPr>
          <w:rFonts w:eastAsia="Times New Roman"/>
        </w:rPr>
        <w:t>(Bougard 1995, pp. 408-409).</w:t>
      </w:r>
    </w:p>
  </w:endnote>
  <w:endnote w:id="24">
    <w:p w14:paraId="2993565C" w14:textId="27251915" w:rsidR="00B84418" w:rsidRDefault="00B84418" w:rsidP="004B2368">
      <w:pPr>
        <w:pStyle w:val="Textonotaalfinal"/>
      </w:pPr>
      <w:r>
        <w:rPr>
          <w:rStyle w:val="Refdenotaalfinal"/>
        </w:rPr>
        <w:endnoteRef/>
      </w:r>
      <w:r>
        <w:t xml:space="preserve"> </w:t>
      </w:r>
      <w:r>
        <w:rPr>
          <w:rFonts w:eastAsia="Times New Roman"/>
        </w:rPr>
        <w:t xml:space="preserve">Figlio del fu Pietro. Esponente di spicco del corpo canonicale della chiesa matrice di San Martino, compare molte volte come autore, testimone o </w:t>
      </w:r>
      <w:r>
        <w:rPr>
          <w:rFonts w:eastAsia="Times New Roman"/>
          <w:i/>
        </w:rPr>
        <w:t xml:space="preserve">missus </w:t>
      </w:r>
      <w:r>
        <w:rPr>
          <w:rFonts w:eastAsia="Times New Roman"/>
        </w:rPr>
        <w:t>vescovile nelle carte private lucchesi: attestato dal 21 marzo 874 (</w:t>
      </w:r>
      <w:r w:rsidR="000F10E6" w:rsidRPr="00A94CEA">
        <w:rPr>
          <w:i/>
        </w:rPr>
        <w:t>ChLA</w:t>
      </w:r>
      <w:r w:rsidR="000F10E6" w:rsidRPr="00A94CEA">
        <w:rPr>
          <w:vertAlign w:val="superscript"/>
        </w:rPr>
        <w:t>2</w:t>
      </w:r>
      <w:bookmarkStart w:id="0" w:name="_GoBack"/>
      <w:bookmarkEnd w:id="0"/>
      <w:r>
        <w:rPr>
          <w:rFonts w:eastAsia="Times New Roman"/>
        </w:rPr>
        <w:t xml:space="preserve">, </w:t>
      </w:r>
      <w:r w:rsidR="00FE504B">
        <w:rPr>
          <w:rFonts w:eastAsia="Times New Roman"/>
        </w:rPr>
        <w:t>LV</w:t>
      </w:r>
      <w:r>
        <w:rPr>
          <w:rFonts w:eastAsia="Times New Roman"/>
        </w:rPr>
        <w:t>, n. 23), ricoprì la carica di visdomino dal 6 luglio 898 (MDL, V/2, n. 1024) al 27 dicembre 908 (MDL, V/3, n. 1116); arciprete dal 6 giugno 900 (la prima menzione si ha proprio in occasione di questo placito) al 23 marzo 913 (MDL, V/3, n. 1144).</w:t>
      </w:r>
    </w:p>
  </w:endnote>
  <w:endnote w:id="25">
    <w:p w14:paraId="1464C35E" w14:textId="77777777" w:rsidR="00B84418" w:rsidRDefault="00B84418" w:rsidP="004B2368">
      <w:pPr>
        <w:pStyle w:val="Textonotaalfinal"/>
      </w:pPr>
      <w:r>
        <w:rPr>
          <w:rStyle w:val="Refdenotaalfinal"/>
        </w:rPr>
        <w:endnoteRef/>
      </w:r>
      <w:r>
        <w:t xml:space="preserve"> </w:t>
      </w:r>
      <w:r>
        <w:rPr>
          <w:rFonts w:eastAsia="Times New Roman"/>
        </w:rPr>
        <w:t>Esponente dell’alto clero cittadino, è attestato nelle carte private lucchesi come diacono cardinale da questa data all’11 gennaio 915 (MDL, V/3, n. 1158). Al pari del vescovo Pietro II, è l’unico del corpo canonicale della chiesa matrice di San Martino che si serve, nel primo quarto del X secolo, di un’esperta minuscola diplomatica. Può forse essere identificato con il prete cardinale attestato dal 27 luglio 917 (MDL, V/3, n. 1174).</w:t>
      </w:r>
    </w:p>
  </w:endnote>
  <w:endnote w:id="26">
    <w:p w14:paraId="78A7AC9C" w14:textId="77777777" w:rsidR="00B84418" w:rsidRDefault="00B84418" w:rsidP="004B2368">
      <w:pPr>
        <w:pStyle w:val="Textonotaalfinal"/>
      </w:pPr>
      <w:r>
        <w:rPr>
          <w:rStyle w:val="Refdenotaalfinal"/>
        </w:rPr>
        <w:endnoteRef/>
      </w:r>
      <w:r>
        <w:t xml:space="preserve"> </w:t>
      </w:r>
      <w:r>
        <w:rPr>
          <w:rFonts w:eastAsia="Times New Roman"/>
        </w:rPr>
        <w:t xml:space="preserve">Deve essere identificato con l’Isalfridi che deteneva dal vescovo di Lucca Gherardo I un beneficio comprendente molti beni in Valdelsa, così come ricordato nel </w:t>
      </w:r>
      <w:r>
        <w:rPr>
          <w:rFonts w:eastAsia="Times New Roman"/>
          <w:i/>
        </w:rPr>
        <w:t>Breve de feora</w:t>
      </w:r>
      <w:r>
        <w:rPr>
          <w:rFonts w:eastAsia="Times New Roman"/>
        </w:rPr>
        <w:t>, inventario realizzato fra il 19 novembre 895 e il 4 marzo 897 (Tomei 2012). Benché compaia come sottoscrittore in molti atti privati lucchesi fra l’ultimo quarto del IX e il primo decennio del X secolo, non è possibile individuarne il gruppo parentale di appartenenza. La sua ultima attestazione è del 2 settembre 906 (MDL, V/3, n. 1097).</w:t>
      </w:r>
    </w:p>
  </w:endnote>
  <w:endnote w:id="27">
    <w:p w14:paraId="5395D71B" w14:textId="77777777" w:rsidR="00B84418" w:rsidRDefault="00B84418" w:rsidP="004B2368">
      <w:pPr>
        <w:pStyle w:val="Textonotaalfinal"/>
      </w:pPr>
      <w:r>
        <w:rPr>
          <w:rStyle w:val="Refdenotaalfinal"/>
        </w:rPr>
        <w:endnoteRef/>
      </w:r>
      <w:r>
        <w:t xml:space="preserve"> </w:t>
      </w:r>
      <w:r>
        <w:rPr>
          <w:rFonts w:eastAsia="Times New Roman"/>
        </w:rPr>
        <w:t>Cunimundo del fu Cunimundo, uno dei principali esponenti dell’</w:t>
      </w:r>
      <w:r>
        <w:rPr>
          <w:rFonts w:eastAsia="Times New Roman"/>
          <w:i/>
        </w:rPr>
        <w:t>élite</w:t>
      </w:r>
      <w:r>
        <w:rPr>
          <w:rFonts w:eastAsia="Times New Roman"/>
        </w:rPr>
        <w:t xml:space="preserve"> diocesana lucchese a cavallo fra IX e X secolo; detentore di un beneficio dal vescovo Gherardo I. Da lui discese la casata dei “Cunimundinghi” (Giambastiani 1991). La sua ultima menzione risale al novembre 915 (Manaresi, n. 127).</w:t>
      </w:r>
    </w:p>
  </w:endnote>
  <w:endnote w:id="28">
    <w:p w14:paraId="3669F928" w14:textId="77777777" w:rsidR="00B84418" w:rsidRDefault="00B84418" w:rsidP="004B2368">
      <w:pPr>
        <w:pStyle w:val="Textonotaalfinal"/>
      </w:pPr>
      <w:r>
        <w:rPr>
          <w:rStyle w:val="Refdenotaalfinal"/>
        </w:rPr>
        <w:endnoteRef/>
      </w:r>
      <w:r>
        <w:t xml:space="preserve"> </w:t>
      </w:r>
      <w:r>
        <w:rPr>
          <w:rFonts w:eastAsia="Times New Roman"/>
        </w:rPr>
        <w:t xml:space="preserve">I due sottoscrittori omonimi devono essere identificati con il Fraolmi possessore di beni </w:t>
      </w:r>
      <w:r>
        <w:rPr>
          <w:rFonts w:eastAsia="Times New Roman"/>
          <w:i/>
        </w:rPr>
        <w:t xml:space="preserve">prope civitate Luca </w:t>
      </w:r>
      <w:r>
        <w:rPr>
          <w:rFonts w:eastAsia="Times New Roman"/>
        </w:rPr>
        <w:t>e il Fraolmi de Wammo che, chiamati in causa a un placito del 4 marzo 897 (Manaresi, n. 102), detenevano un beneficio dal vescovo Gherardo I. Entrambi figurano come testi, spesso affiancati, in numerosissime carte private lucchesi. Uno dei due è Fraolmi del fu Teudimundo, esponente dei “figli di Huscit”, una delle più importanti famiglie della media aristocrazia lucchese, già defunto il 1° aprile 915 (Stoffella 2006, pp. 282-348).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B8F445" w14:textId="77777777" w:rsidR="00B84418" w:rsidRDefault="00B84418" w:rsidP="004B2368">
      <w:r>
        <w:separator/>
      </w:r>
    </w:p>
  </w:footnote>
  <w:footnote w:type="continuationSeparator" w:id="0">
    <w:p w14:paraId="5C146310" w14:textId="77777777" w:rsidR="00B84418" w:rsidRDefault="00B84418" w:rsidP="004B23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368"/>
    <w:rsid w:val="00084859"/>
    <w:rsid w:val="000F10E6"/>
    <w:rsid w:val="003B7633"/>
    <w:rsid w:val="004B2368"/>
    <w:rsid w:val="00573B86"/>
    <w:rsid w:val="00685A94"/>
    <w:rsid w:val="00B67475"/>
    <w:rsid w:val="00B84418"/>
    <w:rsid w:val="00BB694C"/>
    <w:rsid w:val="00DB59DF"/>
    <w:rsid w:val="00FE504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C39A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68"/>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4B2368"/>
    <w:pPr>
      <w:jc w:val="both"/>
    </w:pPr>
    <w:rPr>
      <w:rFonts w:ascii="Times New Roman" w:hAnsi="Times New Roman"/>
      <w:sz w:val="20"/>
    </w:rPr>
  </w:style>
  <w:style w:type="character" w:customStyle="1" w:styleId="TextonotaalfinalCar">
    <w:name w:val="Texto nota al final Car"/>
    <w:basedOn w:val="Fuentedeprrafopredeter"/>
    <w:link w:val="Textonotaalfinal"/>
    <w:rsid w:val="004B2368"/>
    <w:rPr>
      <w:rFonts w:ascii="Times New Roman" w:eastAsia="Times" w:hAnsi="Times New Roman" w:cs="Times New Roman"/>
      <w:noProof/>
      <w:sz w:val="20"/>
      <w:szCs w:val="20"/>
    </w:rPr>
  </w:style>
  <w:style w:type="character" w:styleId="Refdenotaalfinal">
    <w:name w:val="endnote reference"/>
    <w:basedOn w:val="Fuentedeprrafopredeter"/>
    <w:rsid w:val="004B236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68"/>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4B2368"/>
    <w:pPr>
      <w:jc w:val="both"/>
    </w:pPr>
    <w:rPr>
      <w:rFonts w:ascii="Times New Roman" w:hAnsi="Times New Roman"/>
      <w:sz w:val="20"/>
    </w:rPr>
  </w:style>
  <w:style w:type="character" w:customStyle="1" w:styleId="TextonotaalfinalCar">
    <w:name w:val="Texto nota al final Car"/>
    <w:basedOn w:val="Fuentedeprrafopredeter"/>
    <w:link w:val="Textonotaalfinal"/>
    <w:rsid w:val="004B2368"/>
    <w:rPr>
      <w:rFonts w:ascii="Times New Roman" w:eastAsia="Times" w:hAnsi="Times New Roman" w:cs="Times New Roman"/>
      <w:noProof/>
      <w:sz w:val="20"/>
      <w:szCs w:val="20"/>
    </w:rPr>
  </w:style>
  <w:style w:type="character" w:styleId="Refdenotaalfinal">
    <w:name w:val="endnote reference"/>
    <w:basedOn w:val="Fuentedeprrafopredeter"/>
    <w:rsid w:val="004B23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780</Words>
  <Characters>4296</Characters>
  <Application>Microsoft Macintosh Word</Application>
  <DocSecurity>0</DocSecurity>
  <Lines>35</Lines>
  <Paragraphs>10</Paragraphs>
  <ScaleCrop>false</ScaleCrop>
  <Company>casita</Company>
  <LinksUpToDate>false</LinksUpToDate>
  <CharactersWithSpaces>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8</cp:revision>
  <dcterms:created xsi:type="dcterms:W3CDTF">2015-10-12T12:06:00Z</dcterms:created>
  <dcterms:modified xsi:type="dcterms:W3CDTF">2015-12-14T11:32:00Z</dcterms:modified>
</cp:coreProperties>
</file>