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5421F3D" w14:textId="76E45EC6" w:rsidR="006F403D" w:rsidRDefault="00D34459" w:rsidP="00D34459">
      <w:pPr>
        <w:jc w:val="center"/>
        <w:rPr>
          <w:rFonts w:ascii="Times New Roman" w:hAnsi="Times New Roman"/>
        </w:rPr>
      </w:pPr>
      <w:r>
        <w:rPr>
          <w:rFonts w:ascii="Times New Roman" w:hAnsi="Times New Roman"/>
        </w:rPr>
        <w:t>892</w:t>
      </w:r>
      <w:r w:rsidR="00E221C9">
        <w:rPr>
          <w:rFonts w:ascii="Times New Roman" w:hAnsi="Times New Roman"/>
        </w:rPr>
        <w:t xml:space="preserve"> ottobre</w:t>
      </w:r>
      <w:r>
        <w:rPr>
          <w:rFonts w:ascii="Times New Roman" w:hAnsi="Times New Roman"/>
        </w:rPr>
        <w:t>, Lucca</w:t>
      </w:r>
      <w:r w:rsidR="00A84DDA">
        <w:rPr>
          <w:rStyle w:val="Refdenotaalfinal"/>
          <w:rFonts w:ascii="Times New Roman" w:hAnsi="Times New Roman"/>
        </w:rPr>
        <w:endnoteReference w:id="1"/>
      </w:r>
    </w:p>
    <w:p w14:paraId="74B52F77" w14:textId="77777777" w:rsidR="006F403D" w:rsidRDefault="006F403D" w:rsidP="006F403D">
      <w:pPr>
        <w:jc w:val="both"/>
        <w:rPr>
          <w:rFonts w:ascii="Times New Roman" w:hAnsi="Times New Roman"/>
        </w:rPr>
      </w:pPr>
    </w:p>
    <w:p w14:paraId="65EACCEF" w14:textId="4B77CFF5" w:rsidR="006F403D" w:rsidRDefault="006C5077" w:rsidP="006F403D">
      <w:pPr>
        <w:jc w:val="both"/>
        <w:rPr>
          <w:rFonts w:ascii="Times New Roman" w:hAnsi="Times New Roman"/>
        </w:rPr>
      </w:pPr>
      <w:r>
        <w:rPr>
          <w:rFonts w:ascii="Times New Roman" w:hAnsi="Times New Roman"/>
        </w:rPr>
        <w:t>Nel placito presieduto da</w:t>
      </w:r>
      <w:r w:rsidR="006F403D">
        <w:rPr>
          <w:rFonts w:ascii="Times New Roman" w:hAnsi="Times New Roman"/>
        </w:rPr>
        <w:t xml:space="preserve"> </w:t>
      </w:r>
      <w:r>
        <w:rPr>
          <w:rFonts w:ascii="Times New Roman" w:hAnsi="Times New Roman"/>
        </w:rPr>
        <w:t>Gherardus</w:t>
      </w:r>
      <w:r>
        <w:rPr>
          <w:rFonts w:ascii="Times New Roman" w:hAnsi="Times New Roman"/>
        </w:rPr>
        <w:t xml:space="preserve">, </w:t>
      </w:r>
      <w:r w:rsidR="006F403D">
        <w:rPr>
          <w:rFonts w:ascii="Times New Roman" w:hAnsi="Times New Roman"/>
        </w:rPr>
        <w:t>vescovo di Lucca</w:t>
      </w:r>
      <w:r>
        <w:rPr>
          <w:rFonts w:ascii="Times New Roman" w:hAnsi="Times New Roman"/>
        </w:rPr>
        <w:t>,</w:t>
      </w:r>
      <w:bookmarkStart w:id="0" w:name="_GoBack"/>
      <w:bookmarkEnd w:id="0"/>
      <w:r w:rsidR="006F403D">
        <w:rPr>
          <w:rFonts w:ascii="Times New Roman" w:hAnsi="Times New Roman"/>
        </w:rPr>
        <w:t xml:space="preserve"> davanti a un collegio giudicante formato da clerici e laici, Aldiprandus, custod</w:t>
      </w:r>
      <w:r w:rsidR="001224AA">
        <w:rPr>
          <w:rFonts w:ascii="Times New Roman" w:hAnsi="Times New Roman"/>
        </w:rPr>
        <w:t>e della chiesa battesimale di San</w:t>
      </w:r>
      <w:r w:rsidR="006F403D">
        <w:rPr>
          <w:rFonts w:ascii="Times New Roman" w:hAnsi="Times New Roman"/>
        </w:rPr>
        <w:t xml:space="preserve"> Macario, accusa l’</w:t>
      </w:r>
      <w:r w:rsidR="006F403D" w:rsidRPr="00E25BA8">
        <w:rPr>
          <w:rFonts w:ascii="Times New Roman" w:hAnsi="Times New Roman"/>
          <w:i/>
        </w:rPr>
        <w:t>archipresbiter</w:t>
      </w:r>
      <w:r w:rsidR="006F403D">
        <w:rPr>
          <w:rFonts w:ascii="Times New Roman" w:hAnsi="Times New Roman"/>
        </w:rPr>
        <w:t xml:space="preserve"> Andreas, custod</w:t>
      </w:r>
      <w:r w:rsidR="001839AE">
        <w:rPr>
          <w:rFonts w:ascii="Times New Roman" w:hAnsi="Times New Roman"/>
        </w:rPr>
        <w:t>e</w:t>
      </w:r>
      <w:r w:rsidR="004471B7">
        <w:rPr>
          <w:rFonts w:ascii="Times New Roman" w:hAnsi="Times New Roman"/>
        </w:rPr>
        <w:t xml:space="preserve"> della chiesa battesimale di San</w:t>
      </w:r>
      <w:r w:rsidR="00E25BA8">
        <w:rPr>
          <w:rFonts w:ascii="Times New Roman" w:hAnsi="Times New Roman"/>
        </w:rPr>
        <w:t xml:space="preserve"> Martino a Riana, di averlo</w:t>
      </w:r>
      <w:r w:rsidR="006F403D">
        <w:rPr>
          <w:rFonts w:ascii="Times New Roman" w:hAnsi="Times New Roman"/>
        </w:rPr>
        <w:t xml:space="preserve"> ingiustamente privato delle offerte e </w:t>
      </w:r>
      <w:r w:rsidR="00E25BA8">
        <w:rPr>
          <w:rFonts w:ascii="Times New Roman" w:hAnsi="Times New Roman"/>
        </w:rPr>
        <w:t>del</w:t>
      </w:r>
      <w:r w:rsidR="006F403D">
        <w:rPr>
          <w:rFonts w:ascii="Times New Roman" w:hAnsi="Times New Roman"/>
        </w:rPr>
        <w:t>le decime che gli abitanti</w:t>
      </w:r>
      <w:r w:rsidR="00011DFF">
        <w:rPr>
          <w:rFonts w:ascii="Times New Roman" w:hAnsi="Times New Roman"/>
        </w:rPr>
        <w:t xml:space="preserve"> </w:t>
      </w:r>
      <w:r w:rsidR="003E104F">
        <w:rPr>
          <w:rFonts w:ascii="Times New Roman" w:hAnsi="Times New Roman"/>
        </w:rPr>
        <w:t>di otto località portavano a San</w:t>
      </w:r>
      <w:r w:rsidR="006F403D">
        <w:rPr>
          <w:rFonts w:ascii="Times New Roman" w:hAnsi="Times New Roman"/>
        </w:rPr>
        <w:t xml:space="preserve"> Macario. Andreas risponde segnalando come la </w:t>
      </w:r>
      <w:r w:rsidR="006F403D">
        <w:rPr>
          <w:rFonts w:ascii="Times New Roman" w:hAnsi="Times New Roman"/>
          <w:i/>
        </w:rPr>
        <w:t>consuetudo</w:t>
      </w:r>
      <w:r w:rsidR="006F403D">
        <w:rPr>
          <w:rFonts w:ascii="Times New Roman" w:hAnsi="Times New Roman"/>
        </w:rPr>
        <w:t xml:space="preserve"> fosse </w:t>
      </w:r>
      <w:r w:rsidR="00363A38">
        <w:rPr>
          <w:rFonts w:ascii="Times New Roman" w:hAnsi="Times New Roman"/>
        </w:rPr>
        <w:t xml:space="preserve">quella di </w:t>
      </w:r>
      <w:r w:rsidR="006F403D">
        <w:rPr>
          <w:rFonts w:ascii="Times New Roman" w:hAnsi="Times New Roman"/>
        </w:rPr>
        <w:t>por</w:t>
      </w:r>
      <w:r w:rsidR="000E524B">
        <w:rPr>
          <w:rFonts w:ascii="Times New Roman" w:hAnsi="Times New Roman"/>
        </w:rPr>
        <w:t>t</w:t>
      </w:r>
      <w:r w:rsidR="00363A38">
        <w:rPr>
          <w:rFonts w:ascii="Times New Roman" w:hAnsi="Times New Roman"/>
        </w:rPr>
        <w:t>are tali offerte</w:t>
      </w:r>
      <w:r w:rsidR="002A08C3">
        <w:rPr>
          <w:rFonts w:ascii="Times New Roman" w:hAnsi="Times New Roman"/>
        </w:rPr>
        <w:t xml:space="preserve"> e decime a San</w:t>
      </w:r>
      <w:r w:rsidR="006F403D">
        <w:rPr>
          <w:rFonts w:ascii="Times New Roman" w:hAnsi="Times New Roman"/>
        </w:rPr>
        <w:t xml:space="preserve"> Martino. Davanti alla richiesta del </w:t>
      </w:r>
      <w:r w:rsidR="006F403D" w:rsidRPr="00AE308F">
        <w:rPr>
          <w:rFonts w:ascii="Times New Roman" w:hAnsi="Times New Roman"/>
          <w:i/>
        </w:rPr>
        <w:t xml:space="preserve">presbiter </w:t>
      </w:r>
      <w:r w:rsidR="006F403D">
        <w:rPr>
          <w:rFonts w:ascii="Times New Roman" w:hAnsi="Times New Roman"/>
        </w:rPr>
        <w:t>Eripaldus, Andreas presenta cinque testimoni che affermano</w:t>
      </w:r>
      <w:r w:rsidR="003A6A38">
        <w:rPr>
          <w:rFonts w:ascii="Times New Roman" w:hAnsi="Times New Roman"/>
        </w:rPr>
        <w:t xml:space="preserve"> che tali doni vengono dati a San</w:t>
      </w:r>
      <w:r w:rsidR="006F403D">
        <w:rPr>
          <w:rFonts w:ascii="Times New Roman" w:hAnsi="Times New Roman"/>
        </w:rPr>
        <w:t xml:space="preserve"> Martino da almeno quarant’anni. </w:t>
      </w:r>
      <w:r w:rsidR="00A8453B">
        <w:rPr>
          <w:rFonts w:ascii="Times New Roman" w:hAnsi="Times New Roman"/>
        </w:rPr>
        <w:t>La</w:t>
      </w:r>
      <w:r w:rsidR="006F403D">
        <w:rPr>
          <w:rFonts w:ascii="Times New Roman" w:hAnsi="Times New Roman"/>
        </w:rPr>
        <w:t xml:space="preserve"> se</w:t>
      </w:r>
      <w:r w:rsidR="00DE1130">
        <w:rPr>
          <w:rFonts w:ascii="Times New Roman" w:hAnsi="Times New Roman"/>
        </w:rPr>
        <w:t>ntenza conferma alla pieve di San</w:t>
      </w:r>
      <w:r w:rsidR="006F403D">
        <w:rPr>
          <w:rFonts w:ascii="Times New Roman" w:hAnsi="Times New Roman"/>
        </w:rPr>
        <w:t xml:space="preserve"> Martino offerte e decime.</w:t>
      </w:r>
    </w:p>
    <w:p w14:paraId="7BC4CB75" w14:textId="77777777" w:rsidR="006F403D" w:rsidRDefault="006F403D" w:rsidP="006F403D">
      <w:pPr>
        <w:jc w:val="both"/>
        <w:rPr>
          <w:rFonts w:ascii="Times New Roman" w:hAnsi="Times New Roman"/>
        </w:rPr>
      </w:pPr>
    </w:p>
    <w:p w14:paraId="47BE3127" w14:textId="77777777" w:rsidR="006F403D" w:rsidRDefault="006F403D" w:rsidP="006F403D">
      <w:pPr>
        <w:jc w:val="both"/>
        <w:rPr>
          <w:rFonts w:ascii="Times New Roman" w:hAnsi="Times New Roman"/>
        </w:rPr>
      </w:pPr>
      <w:r>
        <w:rPr>
          <w:rFonts w:ascii="Times New Roman" w:hAnsi="Times New Roman"/>
        </w:rPr>
        <w:t>Originale.</w:t>
      </w:r>
    </w:p>
    <w:p w14:paraId="66708380" w14:textId="77777777" w:rsidR="006F403D" w:rsidRDefault="006F403D" w:rsidP="006F403D">
      <w:pPr>
        <w:jc w:val="both"/>
        <w:rPr>
          <w:rFonts w:ascii="Times New Roman" w:hAnsi="Times New Roman"/>
        </w:rPr>
      </w:pPr>
      <w:r>
        <w:rPr>
          <w:rFonts w:ascii="Times New Roman" w:hAnsi="Times New Roman"/>
        </w:rPr>
        <w:t>Archivio Arcivescovile di Lucca, H. 51 [A]</w:t>
      </w:r>
      <w:r>
        <w:rPr>
          <w:rStyle w:val="Refdenotaalfinal"/>
        </w:rPr>
        <w:endnoteReference w:customMarkFollows="1" w:id="2"/>
        <w:t>*</w:t>
      </w:r>
      <w:r>
        <w:rPr>
          <w:rFonts w:ascii="Times New Roman" w:hAnsi="Times New Roman"/>
        </w:rPr>
        <w:t>.</w:t>
      </w:r>
    </w:p>
    <w:p w14:paraId="0571B9A5" w14:textId="77777777" w:rsidR="006F403D" w:rsidRDefault="006F403D" w:rsidP="006F403D">
      <w:pPr>
        <w:jc w:val="both"/>
        <w:rPr>
          <w:rFonts w:ascii="Times New Roman" w:hAnsi="Times New Roman"/>
        </w:rPr>
      </w:pPr>
    </w:p>
    <w:p w14:paraId="76EB90E2" w14:textId="4249F789" w:rsidR="006F403D" w:rsidRDefault="00D5757B" w:rsidP="006F403D">
      <w:pPr>
        <w:jc w:val="both"/>
        <w:rPr>
          <w:rFonts w:ascii="Times New Roman" w:hAnsi="Times New Roman"/>
        </w:rPr>
      </w:pPr>
      <w:r>
        <w:rPr>
          <w:rFonts w:ascii="Times New Roman" w:hAnsi="Times New Roman"/>
        </w:rPr>
        <w:t>Edizioni: Barsocchini</w:t>
      </w:r>
      <w:r w:rsidR="006F403D">
        <w:rPr>
          <w:rFonts w:ascii="Times New Roman" w:hAnsi="Times New Roman"/>
        </w:rPr>
        <w:t xml:space="preserve">, </w:t>
      </w:r>
      <w:r w:rsidR="00110C0A">
        <w:rPr>
          <w:rFonts w:ascii="Times New Roman" w:hAnsi="Times New Roman"/>
        </w:rPr>
        <w:t xml:space="preserve">MDL </w:t>
      </w:r>
      <w:r w:rsidR="0044020C">
        <w:rPr>
          <w:rFonts w:ascii="Times New Roman" w:hAnsi="Times New Roman"/>
        </w:rPr>
        <w:t>V</w:t>
      </w:r>
      <w:r w:rsidR="006F403D">
        <w:rPr>
          <w:rFonts w:ascii="Times New Roman" w:hAnsi="Times New Roman"/>
        </w:rPr>
        <w:t xml:space="preserve">/2, n. </w:t>
      </w:r>
      <w:r w:rsidR="00AB2235">
        <w:rPr>
          <w:rFonts w:ascii="Times New Roman" w:hAnsi="Times New Roman"/>
        </w:rPr>
        <w:t>983</w:t>
      </w:r>
    </w:p>
    <w:p w14:paraId="462212CE" w14:textId="77777777" w:rsidR="006F403D" w:rsidRDefault="006F403D" w:rsidP="006F403D">
      <w:pPr>
        <w:jc w:val="both"/>
        <w:rPr>
          <w:rFonts w:ascii="Times New Roman" w:hAnsi="Times New Roman"/>
        </w:rPr>
      </w:pPr>
    </w:p>
    <w:p w14:paraId="24384779" w14:textId="7B540574" w:rsidR="006F403D" w:rsidRDefault="006F403D" w:rsidP="006F403D">
      <w:pPr>
        <w:jc w:val="both"/>
        <w:rPr>
          <w:rFonts w:ascii="Times New Roman" w:hAnsi="Times New Roman"/>
        </w:rPr>
      </w:pPr>
      <w:r>
        <w:rPr>
          <w:rFonts w:ascii="Times New Roman" w:hAnsi="Times New Roman"/>
        </w:rPr>
        <w:t>+ In nomine Domini. Dum Gherardus</w:t>
      </w:r>
      <w:r w:rsidR="00875608">
        <w:rPr>
          <w:rStyle w:val="Refdenotaalfinal"/>
          <w:rFonts w:ascii="Times New Roman" w:hAnsi="Times New Roman"/>
        </w:rPr>
        <w:endnoteReference w:id="3"/>
      </w:r>
      <w:r>
        <w:rPr>
          <w:rFonts w:ascii="Times New Roman" w:hAnsi="Times New Roman"/>
        </w:rPr>
        <w:t xml:space="preserve"> gratia Dei huius sancte Lucane ecclesie humilis episcopus</w:t>
      </w:r>
      <w:r>
        <w:rPr>
          <w:rStyle w:val="Refdenotaalfinal"/>
        </w:rPr>
        <w:endnoteReference w:customMarkFollows="1" w:id="4"/>
        <w:t>a</w:t>
      </w:r>
      <w:r>
        <w:rPr>
          <w:rFonts w:ascii="Times New Roman" w:hAnsi="Times New Roman"/>
        </w:rPr>
        <w:t xml:space="preserve"> adessente hic civitate</w:t>
      </w:r>
      <w:r>
        <w:rPr>
          <w:rStyle w:val="Refdenotaalfinal"/>
        </w:rPr>
        <w:endnoteReference w:customMarkFollows="1" w:id="5"/>
        <w:t>b</w:t>
      </w:r>
      <w:r>
        <w:rPr>
          <w:rFonts w:ascii="Times New Roman" w:hAnsi="Times New Roman"/>
        </w:rPr>
        <w:t xml:space="preserve"> Luca in domo episcopio</w:t>
      </w:r>
      <w:r>
        <w:rPr>
          <w:rStyle w:val="Refdenotaalfinal"/>
        </w:rPr>
        <w:endnoteReference w:customMarkFollows="1" w:id="6"/>
        <w:t>c</w:t>
      </w:r>
      <w:r>
        <w:rPr>
          <w:rFonts w:ascii="Times New Roman" w:hAnsi="Times New Roman"/>
        </w:rPr>
        <w:t xml:space="preserve"> sui sancti Martini, una cum Leo archipresbiter</w:t>
      </w:r>
      <w:r>
        <w:rPr>
          <w:rStyle w:val="Refdenotaalfinal"/>
        </w:rPr>
        <w:endnoteReference w:customMarkFollows="1" w:id="7"/>
        <w:t>d</w:t>
      </w:r>
      <w:r>
        <w:rPr>
          <w:rFonts w:ascii="Times New Roman" w:hAnsi="Times New Roman"/>
        </w:rPr>
        <w:t>, Eripaldo, Teufridi, Suntripaldo, Ropperto, Marino presbiteris, et de laicos homines, idest Adalprando, Eliezar, Petronaci, qui Aggo vocatur, Roppaldo et Ghisolfo germani, Toto et reliquis. Ibique nostris presentiis veniens Aidiprando presbitero</w:t>
      </w:r>
      <w:r>
        <w:rPr>
          <w:rStyle w:val="Refdenotaalfinal"/>
        </w:rPr>
        <w:endnoteReference w:customMarkFollows="1" w:id="8"/>
        <w:t>e</w:t>
      </w:r>
      <w:r>
        <w:rPr>
          <w:rFonts w:ascii="Times New Roman" w:hAnsi="Times New Roman"/>
          <w:color w:val="FF0000"/>
        </w:rPr>
        <w:t xml:space="preserve"> </w:t>
      </w:r>
      <w:r>
        <w:rPr>
          <w:rFonts w:ascii="Times New Roman" w:hAnsi="Times New Roman"/>
        </w:rPr>
        <w:t>custode</w:t>
      </w:r>
      <w:r>
        <w:rPr>
          <w:rStyle w:val="Refdenotaalfinal"/>
        </w:rPr>
        <w:endnoteReference w:customMarkFollows="1" w:id="9"/>
        <w:t>f</w:t>
      </w:r>
      <w:r>
        <w:rPr>
          <w:rFonts w:ascii="Times New Roman" w:hAnsi="Times New Roman"/>
        </w:rPr>
        <w:t xml:space="preserve"> ecclesie sancti Macharii plebe baptismalis</w:t>
      </w:r>
      <w:r>
        <w:rPr>
          <w:rStyle w:val="Refdenotaalfinal"/>
        </w:rPr>
        <w:endnoteReference w:customMarkFollows="1" w:id="10"/>
        <w:t>g</w:t>
      </w:r>
      <w:r>
        <w:rPr>
          <w:rFonts w:ascii="Times New Roman" w:hAnsi="Times New Roman"/>
        </w:rPr>
        <w:t>, proclamandum nobis dicens: “Iste Andreas archipresbitero custodem ecclesie</w:t>
      </w:r>
      <w:r>
        <w:rPr>
          <w:rStyle w:val="Refdenotaalfinal"/>
        </w:rPr>
        <w:endnoteReference w:customMarkFollows="1" w:id="11"/>
        <w:t>h</w:t>
      </w:r>
      <w:r>
        <w:rPr>
          <w:rFonts w:ascii="Times New Roman" w:hAnsi="Times New Roman"/>
        </w:rPr>
        <w:t xml:space="preserve"> sancti Martini plebe baptismalis sita</w:t>
      </w:r>
      <w:r>
        <w:rPr>
          <w:rStyle w:val="Refdenotaalfinal"/>
        </w:rPr>
        <w:endnoteReference w:customMarkFollows="1" w:id="12"/>
        <w:t>i</w:t>
      </w:r>
      <w:r>
        <w:rPr>
          <w:rFonts w:ascii="Times New Roman" w:hAnsi="Times New Roman"/>
          <w:color w:val="FF0000"/>
        </w:rPr>
        <w:t xml:space="preserve"> </w:t>
      </w:r>
      <w:r>
        <w:rPr>
          <w:rFonts w:ascii="Times New Roman" w:hAnsi="Times New Roman"/>
        </w:rPr>
        <w:t>loco Ariliano</w:t>
      </w:r>
      <w:r w:rsidR="008B35FE">
        <w:rPr>
          <w:rStyle w:val="Refdenotaalfinal"/>
          <w:rFonts w:ascii="Times New Roman" w:hAnsi="Times New Roman"/>
        </w:rPr>
        <w:endnoteReference w:id="13"/>
      </w:r>
      <w:r>
        <w:rPr>
          <w:rFonts w:ascii="Times New Roman" w:hAnsi="Times New Roman"/>
        </w:rPr>
        <w:t>, fecit mihi iniuste; tulit mihi offertas et decimas de hominibus illis, qui sunt abitatores</w:t>
      </w:r>
      <w:r>
        <w:rPr>
          <w:rStyle w:val="Refdenotaalfinal"/>
        </w:rPr>
        <w:endnoteReference w:customMarkFollows="1" w:id="14"/>
        <w:t>j</w:t>
      </w:r>
      <w:r>
        <w:rPr>
          <w:rFonts w:ascii="Times New Roman" w:hAnsi="Times New Roman"/>
        </w:rPr>
        <w:t xml:space="preserve"> in loco Stabbiano, Itriano seo Colugnula</w:t>
      </w:r>
      <w:r>
        <w:rPr>
          <w:rStyle w:val="Refdenotaalfinal"/>
        </w:rPr>
        <w:endnoteReference w:customMarkFollows="1" w:id="15"/>
        <w:t>k</w:t>
      </w:r>
      <w:r>
        <w:rPr>
          <w:rFonts w:ascii="Times New Roman" w:hAnsi="Times New Roman"/>
        </w:rPr>
        <w:t>, Rasiniano, Viniole, adque Farnita et Oliveto, Formentale, qui abuerunt consuetudo venire, et offertas et decimas dare ad</w:t>
      </w:r>
      <w:r>
        <w:rPr>
          <w:rStyle w:val="Refdenotaalfinal"/>
        </w:rPr>
        <w:endnoteReference w:customMarkFollows="1" w:id="16"/>
        <w:t>l</w:t>
      </w:r>
      <w:r>
        <w:rPr>
          <w:rFonts w:ascii="Times New Roman" w:hAnsi="Times New Roman"/>
        </w:rPr>
        <w:t xml:space="preserve"> suprascripta ecclesia</w:t>
      </w:r>
      <w:r>
        <w:rPr>
          <w:rFonts w:ascii="Times New Roman" w:hAnsi="Times New Roman"/>
          <w:color w:val="FF0000"/>
        </w:rPr>
        <w:t xml:space="preserve"> </w:t>
      </w:r>
      <w:r>
        <w:rPr>
          <w:rFonts w:ascii="Times New Roman" w:hAnsi="Times New Roman"/>
        </w:rPr>
        <w:t>sancti Macarii plebe baptismalis</w:t>
      </w:r>
      <w:r>
        <w:rPr>
          <w:rStyle w:val="Refdenotaalfinal"/>
        </w:rPr>
        <w:endnoteReference w:customMarkFollows="1" w:id="17"/>
        <w:t>m</w:t>
      </w:r>
      <w:r>
        <w:rPr>
          <w:rFonts w:ascii="Times New Roman" w:hAnsi="Times New Roman"/>
        </w:rPr>
        <w:t xml:space="preserve"> ubi ego custodem et rectorem esse videtur”. Quid ipse Andreas archipresbitero dixit: “Vere tibi iniuste non fecit, set offertas et decimas ipsas de predicti hominibus de suprascripti locibus tullit, pro eo quod abuerunt consuetudo eas dare ad pars suprascripte ecclesie sancti Martini plebe baptismalis sito iam dicto loco Ariliano”. Tunc ipse Eripaldo presbiter interogavit ipso Andreas archipresbitero si aberet credentes homines, qui causa ipsa scirent, et ausi fuisserunt iurare a</w:t>
      </w:r>
      <w:r>
        <w:rPr>
          <w:rStyle w:val="Refdenotaalfinal"/>
        </w:rPr>
        <w:endnoteReference w:customMarkFollows="1" w:id="18"/>
        <w:t>n</w:t>
      </w:r>
      <w:r>
        <w:rPr>
          <w:rFonts w:ascii="Times New Roman" w:hAnsi="Times New Roman"/>
          <w:color w:val="FF0000"/>
        </w:rPr>
        <w:t xml:space="preserve"> </w:t>
      </w:r>
      <w:r>
        <w:rPr>
          <w:rFonts w:ascii="Times New Roman" w:hAnsi="Times New Roman"/>
        </w:rPr>
        <w:t>Dei evangelie, quod ita sic fuisset veritas, sicut dicebat ad non. Quibus ipse Andreas archipresbitero dixit, quod tales credentes homines aberent, qui causa ipsa sciunt et sagramentum ipsum iurare volunt. I sunt: Altiprando filio quondam Alperti et Martino filio quondam Laurentii, seo Achiperto filio quondam Achinolfi. Tunc ipse Eripaldo presbitero interrogavi</w:t>
      </w:r>
      <w:r>
        <w:rPr>
          <w:rStyle w:val="Refdenotaalfinal"/>
        </w:rPr>
        <w:endnoteReference w:customMarkFollows="1" w:id="19"/>
        <w:t>o</w:t>
      </w:r>
      <w:r>
        <w:rPr>
          <w:rFonts w:ascii="Times New Roman" w:hAnsi="Times New Roman"/>
        </w:rPr>
        <w:t xml:space="preserve"> suprascripti hominibus, si causa ipsa scirent et sagramentum ipsum iurare volerent</w:t>
      </w:r>
      <w:r>
        <w:rPr>
          <w:rStyle w:val="Refdenotaalfinal"/>
        </w:rPr>
        <w:endnoteReference w:customMarkFollows="1" w:id="20"/>
        <w:t>p</w:t>
      </w:r>
      <w:r>
        <w:rPr>
          <w:rFonts w:ascii="Times New Roman" w:hAnsi="Times New Roman"/>
        </w:rPr>
        <w:t>. Quid ipsi dixerunt, quod causa ipsa scirent et sagramentum ipsum iurare volerent. In primis suprascripto Altiprando dixit: “Scio quod hominibus de predictis locibus per quadraginta annos abuerunt consuetudo, offertas et decimas dare ad predicta ecclesia sancti Martini plebe baptismalis sita in prenominato</w:t>
      </w:r>
      <w:r>
        <w:rPr>
          <w:rStyle w:val="Refdenotaalfinal"/>
        </w:rPr>
        <w:endnoteReference w:customMarkFollows="1" w:id="21"/>
        <w:t>q</w:t>
      </w:r>
      <w:r>
        <w:rPr>
          <w:rFonts w:ascii="Times New Roman" w:hAnsi="Times New Roman"/>
        </w:rPr>
        <w:t xml:space="preserve"> loco Ariliano, ubi iste</w:t>
      </w:r>
      <w:r>
        <w:rPr>
          <w:rStyle w:val="Refdenotaalfinal"/>
        </w:rPr>
        <w:endnoteReference w:customMarkFollows="1" w:id="22"/>
        <w:t>r</w:t>
      </w:r>
      <w:r>
        <w:rPr>
          <w:rFonts w:ascii="Times New Roman" w:hAnsi="Times New Roman"/>
        </w:rPr>
        <w:t xml:space="preserve"> Andreas</w:t>
      </w:r>
      <w:r>
        <w:rPr>
          <w:rStyle w:val="Refdenotaalfinal"/>
        </w:rPr>
        <w:endnoteReference w:customMarkFollows="1" w:id="23"/>
        <w:t>s</w:t>
      </w:r>
      <w:r>
        <w:rPr>
          <w:rFonts w:ascii="Times New Roman" w:hAnsi="Times New Roman"/>
        </w:rPr>
        <w:t xml:space="preserve"> presbitero custodem suprascripta ecclesie esse videtur”</w:t>
      </w:r>
      <w:r>
        <w:rPr>
          <w:rStyle w:val="Refdenotaalfinal"/>
        </w:rPr>
        <w:endnoteReference w:customMarkFollows="1" w:id="24"/>
        <w:t>t</w:t>
      </w:r>
      <w:r>
        <w:rPr>
          <w:rFonts w:ascii="Times New Roman" w:hAnsi="Times New Roman"/>
        </w:rPr>
        <w:t>.</w:t>
      </w:r>
      <w:r>
        <w:rPr>
          <w:rFonts w:ascii="Times New Roman" w:hAnsi="Times New Roman"/>
          <w:color w:val="FF0000"/>
        </w:rPr>
        <w:t xml:space="preserve"> </w:t>
      </w:r>
      <w:r>
        <w:rPr>
          <w:rFonts w:ascii="Times New Roman" w:hAnsi="Times New Roman"/>
        </w:rPr>
        <w:t>Martino similiter dixit, Tachiperto similiter dixit. Hoc dicto ibi sagras sancte</w:t>
      </w:r>
      <w:r>
        <w:rPr>
          <w:rStyle w:val="Refdenotaalfinal"/>
        </w:rPr>
        <w:endnoteReference w:customMarkFollows="1" w:id="25"/>
        <w:t>u</w:t>
      </w:r>
      <w:r>
        <w:rPr>
          <w:rFonts w:ascii="Times New Roman" w:hAnsi="Times New Roman"/>
        </w:rPr>
        <w:t xml:space="preserve"> Dei euangelie posite erat, et unusquisque iuraverunt ad ipsas Dei evangelia</w:t>
      </w:r>
      <w:r>
        <w:rPr>
          <w:rStyle w:val="Refdenotaalfinal"/>
        </w:rPr>
        <w:endnoteReference w:customMarkFollows="1" w:id="26"/>
        <w:t>v</w:t>
      </w:r>
      <w:r>
        <w:rPr>
          <w:rFonts w:ascii="Times New Roman" w:hAnsi="Times New Roman"/>
        </w:rPr>
        <w:t xml:space="preserve"> qualiter de hac causa dixsisserunt</w:t>
      </w:r>
      <w:r>
        <w:rPr>
          <w:rStyle w:val="Refdenotaalfinal"/>
        </w:rPr>
        <w:endnoteReference w:customMarkFollows="1" w:id="27"/>
        <w:t>w</w:t>
      </w:r>
      <w:r>
        <w:rPr>
          <w:rFonts w:ascii="Times New Roman" w:hAnsi="Times New Roman"/>
        </w:rPr>
        <w:t xml:space="preserve"> veritatem dixsisserunt</w:t>
      </w:r>
      <w:r>
        <w:rPr>
          <w:rStyle w:val="Refdenotaalfinal"/>
        </w:rPr>
        <w:endnoteReference w:customMarkFollows="1" w:id="28"/>
        <w:t>x</w:t>
      </w:r>
      <w:r>
        <w:rPr>
          <w:rFonts w:ascii="Times New Roman" w:hAnsi="Times New Roman"/>
        </w:rPr>
        <w:t xml:space="preserve">. Et ipse Andreas archipresbitero cum sagramento talibus suis iuravit ad ipsa Dei evangelie, qualiter suprascripto Altiprando et Martino seo Tachiperto dixserunt, de ac causa veritatem dixsisserunt et predicto Andreas archipresbitero cum sagramentalibus suis iuravi ad ipsas Dei evangelia qualiter suprascripti Altiprando et Martino seo Tachiperto dixserunt </w:t>
      </w:r>
      <w:r>
        <w:rPr>
          <w:rFonts w:ascii="Times New Roman" w:hAnsi="Times New Roman"/>
        </w:rPr>
        <w:lastRenderedPageBreak/>
        <w:t>[…] veritatem dixsisserunt</w:t>
      </w:r>
      <w:r>
        <w:rPr>
          <w:rStyle w:val="Refdenotaalfinal"/>
        </w:rPr>
        <w:endnoteReference w:customMarkFollows="1" w:id="29"/>
        <w:t>y</w:t>
      </w:r>
      <w:r>
        <w:rPr>
          <w:rFonts w:ascii="Times New Roman" w:hAnsi="Times New Roman"/>
        </w:rPr>
        <w:t>. Et dum prenominati hominibus et predicto Andreas presbiter causa sagramentalibus suis taliter iuraverunt: tunc ipse Eripaldo presbiter, una cum reliqui ibi adessentibus, rectum paruit esse, ita iudicaui eidem Andree presbiter predicta offertas et decimas abere ad pars suprascripte ecclesie sancti Martini plebe baptismalis de omnibus de prenominatis</w:t>
      </w:r>
      <w:r>
        <w:rPr>
          <w:rStyle w:val="Refdenotaalfinal"/>
        </w:rPr>
        <w:endnoteReference w:customMarkFollows="1" w:id="30"/>
        <w:t>z</w:t>
      </w:r>
      <w:r>
        <w:rPr>
          <w:rFonts w:ascii="Times New Roman" w:hAnsi="Times New Roman"/>
          <w:color w:val="FF0000"/>
        </w:rPr>
        <w:t xml:space="preserve"> </w:t>
      </w:r>
      <w:r>
        <w:rPr>
          <w:rFonts w:ascii="Times New Roman" w:hAnsi="Times New Roman"/>
        </w:rPr>
        <w:t>locibus Stabbiano Itriano, Colugnula, Rasignano, Viniole, Farnita, Oliveto, Formentale</w:t>
      </w:r>
      <w:r>
        <w:rPr>
          <w:rStyle w:val="Refdenotaalfinal"/>
        </w:rPr>
        <w:endnoteReference w:customMarkFollows="1" w:id="31"/>
        <w:t>aa</w:t>
      </w:r>
      <w:r>
        <w:rPr>
          <w:rFonts w:ascii="Times New Roman" w:hAnsi="Times New Roman"/>
        </w:rPr>
        <w:t xml:space="preserve"> sine contradictione ipsius Aidiprandi […] ipse Aidiprando presbitero de pars suprascripte ecclesie sancti Macarii plebe baptismalis</w:t>
      </w:r>
      <w:r>
        <w:rPr>
          <w:rStyle w:val="Refdenotaalfinal"/>
        </w:rPr>
        <w:endnoteReference w:customMarkFollows="1" w:id="32"/>
        <w:t>ab</w:t>
      </w:r>
      <w:r>
        <w:rPr>
          <w:rFonts w:ascii="Times New Roman" w:hAnsi="Times New Roman"/>
        </w:rPr>
        <w:t xml:space="preserve"> permaneant exinde ta […] et contentos adque remotos. Unde hanc notitia pro securitate suprascripte ecclesia sancti Martini plebe baptismalis sito in predicto loco Ariliano</w:t>
      </w:r>
      <w:r>
        <w:rPr>
          <w:rStyle w:val="Refdenotaalfinal"/>
        </w:rPr>
        <w:endnoteReference w:customMarkFollows="1" w:id="33"/>
        <w:t>ac</w:t>
      </w:r>
      <w:r>
        <w:rPr>
          <w:rFonts w:ascii="Times New Roman" w:hAnsi="Times New Roman"/>
        </w:rPr>
        <w:t>. Ego Leo notarius</w:t>
      </w:r>
      <w:r>
        <w:rPr>
          <w:rStyle w:val="Refdenotaalfinal"/>
        </w:rPr>
        <w:endnoteReference w:customMarkFollows="1" w:id="34"/>
        <w:t>ad</w:t>
      </w:r>
      <w:r>
        <w:rPr>
          <w:rFonts w:ascii="Times New Roman" w:hAnsi="Times New Roman"/>
        </w:rPr>
        <w:t xml:space="preserve"> ex dicto et amonitione suprascripti Gherardi episcopi scripsi, anno […] Uidoni gratia Dei imperatoris</w:t>
      </w:r>
      <w:r>
        <w:rPr>
          <w:rStyle w:val="Refdenotaalfinal"/>
        </w:rPr>
        <w:endnoteReference w:customMarkFollows="1" w:id="35"/>
        <w:t>ae</w:t>
      </w:r>
      <w:r>
        <w:rPr>
          <w:rFonts w:ascii="Times New Roman" w:hAnsi="Times New Roman"/>
        </w:rPr>
        <w:t xml:space="preserve"> augusto, anno imperius eius secundo, mense octuber, inditione</w:t>
      </w:r>
      <w:r>
        <w:rPr>
          <w:rStyle w:val="Refdenotaalfinal"/>
        </w:rPr>
        <w:endnoteReference w:customMarkFollows="1" w:id="36"/>
        <w:t>af</w:t>
      </w:r>
      <w:r>
        <w:rPr>
          <w:rFonts w:ascii="Times New Roman" w:hAnsi="Times New Roman"/>
        </w:rPr>
        <w:t xml:space="preserve"> undecima.</w:t>
      </w:r>
    </w:p>
    <w:p w14:paraId="1E1AB03F" w14:textId="77777777" w:rsidR="006F403D" w:rsidRDefault="006F403D" w:rsidP="006F403D">
      <w:pPr>
        <w:jc w:val="both"/>
        <w:rPr>
          <w:rFonts w:ascii="Times New Roman" w:hAnsi="Times New Roman"/>
        </w:rPr>
      </w:pPr>
      <w:r>
        <w:rPr>
          <w:rFonts w:ascii="Times New Roman" w:hAnsi="Times New Roman"/>
        </w:rPr>
        <w:t>+ Gherardus gratia Dei episcopus</w:t>
      </w:r>
      <w:r>
        <w:rPr>
          <w:rStyle w:val="Refdenotaalfinal"/>
        </w:rPr>
        <w:endnoteReference w:customMarkFollows="1" w:id="37"/>
        <w:t>ag</w:t>
      </w:r>
      <w:r>
        <w:rPr>
          <w:rFonts w:ascii="Times New Roman" w:hAnsi="Times New Roman"/>
        </w:rPr>
        <w:t xml:space="preserve"> subscripsi</w:t>
      </w:r>
      <w:r>
        <w:rPr>
          <w:rStyle w:val="Refdenotaalfinal"/>
        </w:rPr>
        <w:endnoteReference w:customMarkFollows="1" w:id="38"/>
        <w:t>ah</w:t>
      </w:r>
      <w:r>
        <w:rPr>
          <w:rFonts w:ascii="Times New Roman" w:hAnsi="Times New Roman"/>
        </w:rPr>
        <w:t>.</w:t>
      </w:r>
    </w:p>
    <w:p w14:paraId="00E818B6" w14:textId="77777777" w:rsidR="006F403D" w:rsidRDefault="006F403D" w:rsidP="006F403D">
      <w:pPr>
        <w:jc w:val="both"/>
        <w:rPr>
          <w:rFonts w:ascii="Times New Roman" w:hAnsi="Times New Roman"/>
        </w:rPr>
      </w:pPr>
      <w:r>
        <w:rPr>
          <w:rFonts w:ascii="Times New Roman" w:hAnsi="Times New Roman"/>
        </w:rPr>
        <w:t>[…] aldus presbiter interfui.</w:t>
      </w:r>
    </w:p>
    <w:p w14:paraId="6308BDF4" w14:textId="77777777" w:rsidR="006F403D" w:rsidRDefault="006F403D" w:rsidP="006F403D">
      <w:pPr>
        <w:jc w:val="both"/>
        <w:rPr>
          <w:rFonts w:ascii="Times New Roman" w:hAnsi="Times New Roman"/>
        </w:rPr>
      </w:pPr>
      <w:r>
        <w:rPr>
          <w:rFonts w:ascii="Times New Roman" w:hAnsi="Times New Roman"/>
        </w:rPr>
        <w:t>[…] prando presbiter in parte ibi fui.</w:t>
      </w:r>
    </w:p>
    <w:p w14:paraId="616C308D" w14:textId="77777777" w:rsidR="006F403D" w:rsidRDefault="006F403D" w:rsidP="006F403D">
      <w:pPr>
        <w:jc w:val="both"/>
        <w:rPr>
          <w:rFonts w:ascii="Times New Roman" w:hAnsi="Times New Roman"/>
        </w:rPr>
      </w:pPr>
      <w:r>
        <w:rPr>
          <w:rFonts w:ascii="Times New Roman" w:hAnsi="Times New Roman"/>
        </w:rPr>
        <w:t>[…]presbiter ibi fui.</w:t>
      </w:r>
    </w:p>
    <w:p w14:paraId="0E8F80A5" w14:textId="77777777" w:rsidR="006F403D" w:rsidRDefault="006F403D" w:rsidP="006F403D">
      <w:pPr>
        <w:jc w:val="both"/>
        <w:rPr>
          <w:rFonts w:ascii="Times New Roman" w:hAnsi="Times New Roman"/>
        </w:rPr>
      </w:pPr>
      <w:r>
        <w:rPr>
          <w:rFonts w:ascii="Times New Roman" w:hAnsi="Times New Roman"/>
        </w:rPr>
        <w:t>[…] presbiter ibi fui.</w:t>
      </w:r>
    </w:p>
    <w:p w14:paraId="3246F13D" w14:textId="77777777" w:rsidR="006F403D" w:rsidRDefault="006F403D" w:rsidP="006F403D">
      <w:pPr>
        <w:jc w:val="both"/>
        <w:rPr>
          <w:rFonts w:ascii="Times New Roman" w:hAnsi="Times New Roman"/>
        </w:rPr>
      </w:pPr>
      <w:r>
        <w:rPr>
          <w:rFonts w:ascii="Times New Roman" w:hAnsi="Times New Roman"/>
        </w:rPr>
        <w:t>Andreas […] ibi fui.</w:t>
      </w:r>
      <w:r>
        <w:rPr>
          <w:rStyle w:val="Refdenotaalfinal"/>
        </w:rPr>
        <w:endnoteReference w:customMarkFollows="1" w:id="39"/>
        <w:t>ai</w:t>
      </w:r>
    </w:p>
    <w:p w14:paraId="66A18CF2" w14:textId="77777777" w:rsidR="006F403D" w:rsidRDefault="006F403D" w:rsidP="006F403D">
      <w:pPr>
        <w:jc w:val="both"/>
        <w:rPr>
          <w:rFonts w:ascii="Times New Roman" w:hAnsi="Times New Roman"/>
        </w:rPr>
      </w:pPr>
      <w:r>
        <w:rPr>
          <w:rFonts w:ascii="Times New Roman" w:hAnsi="Times New Roman"/>
        </w:rPr>
        <w:t>Signum + manus Adalprandi qui ibi fui.</w:t>
      </w:r>
    </w:p>
    <w:p w14:paraId="5EA90D4F" w14:textId="77777777" w:rsidR="006F403D" w:rsidRDefault="006F403D" w:rsidP="006F403D">
      <w:pPr>
        <w:jc w:val="both"/>
        <w:rPr>
          <w:rFonts w:ascii="Times New Roman" w:hAnsi="Times New Roman"/>
        </w:rPr>
      </w:pPr>
      <w:r>
        <w:rPr>
          <w:rFonts w:ascii="Times New Roman" w:hAnsi="Times New Roman"/>
        </w:rPr>
        <w:t>+ Ego Roppaldo ibi fui.</w:t>
      </w:r>
    </w:p>
    <w:p w14:paraId="16707109" w14:textId="77777777" w:rsidR="006F403D" w:rsidRDefault="006F403D" w:rsidP="006F403D">
      <w:pPr>
        <w:jc w:val="both"/>
        <w:rPr>
          <w:rFonts w:ascii="Times New Roman" w:hAnsi="Times New Roman"/>
        </w:rPr>
      </w:pPr>
      <w:r>
        <w:rPr>
          <w:rFonts w:ascii="Times New Roman" w:hAnsi="Times New Roman"/>
        </w:rPr>
        <w:t>Signum + manus Ghisolfi germanis Roppaldi qui ibi fui.</w:t>
      </w:r>
    </w:p>
    <w:p w14:paraId="72AD17DF" w14:textId="77777777" w:rsidR="006F403D" w:rsidRDefault="006F403D" w:rsidP="006F403D">
      <w:pPr>
        <w:jc w:val="both"/>
        <w:rPr>
          <w:rFonts w:ascii="Times New Roman" w:hAnsi="Times New Roman"/>
          <w:color w:val="FF0000"/>
        </w:rPr>
      </w:pPr>
      <w:r>
        <w:rPr>
          <w:rFonts w:ascii="Times New Roman" w:hAnsi="Times New Roman"/>
        </w:rPr>
        <w:t>Signum + manus Petronaci qui ibi fui</w:t>
      </w:r>
      <w:r>
        <w:rPr>
          <w:rStyle w:val="Refdenotaalfinal"/>
        </w:rPr>
        <w:endnoteReference w:customMarkFollows="1" w:id="40"/>
        <w:t>aj</w:t>
      </w:r>
      <w:r>
        <w:rPr>
          <w:rFonts w:ascii="Times New Roman" w:hAnsi="Times New Roman"/>
        </w:rPr>
        <w:t>.</w:t>
      </w:r>
    </w:p>
    <w:p w14:paraId="57606FA5" w14:textId="77777777" w:rsidR="00B67475" w:rsidRDefault="00B67475"/>
    <w:sectPr w:rsidR="00B67475">
      <w:endnotePr>
        <w:numFmt w:val="decimal"/>
      </w:endnotePr>
      <w:pgSz w:w="11906" w:h="16838"/>
      <w:pgMar w:top="1417" w:right="1701" w:bottom="1417" w:left="1701" w:header="708" w:footer="708" w:gutter="0"/>
      <w:cols w:space="708"/>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E147246" w14:textId="77777777" w:rsidR="006F403D" w:rsidRDefault="006F403D" w:rsidP="006F403D">
      <w:r>
        <w:separator/>
      </w:r>
    </w:p>
  </w:endnote>
  <w:endnote w:type="continuationSeparator" w:id="0">
    <w:p w14:paraId="2B0FC422" w14:textId="77777777" w:rsidR="006F403D" w:rsidRDefault="006F403D" w:rsidP="006F403D">
      <w:r>
        <w:continuationSeparator/>
      </w:r>
    </w:p>
  </w:endnote>
  <w:endnote w:id="1">
    <w:p w14:paraId="62BF3F4D" w14:textId="77777777" w:rsidR="00A84DDA" w:rsidRPr="000016AD" w:rsidRDefault="00A84DDA" w:rsidP="00A84DDA">
      <w:pPr>
        <w:pStyle w:val="Textonotaalfinal"/>
        <w:rPr>
          <w:lang w:val="es-ES_tradnl"/>
        </w:rPr>
      </w:pPr>
      <w:r>
        <w:rPr>
          <w:rStyle w:val="Refdenotaalfinal"/>
        </w:rPr>
        <w:endnoteRef/>
      </w:r>
      <w:r>
        <w:t xml:space="preserve"> </w:t>
      </w:r>
      <w:r>
        <w:rPr>
          <w:lang w:val="es-ES_tradnl"/>
        </w:rPr>
        <w:t>Su questo placito Wickham 1997, p. 107.</w:t>
      </w:r>
    </w:p>
  </w:endnote>
  <w:endnote w:id="2">
    <w:p w14:paraId="3CB422DF" w14:textId="10E760AB" w:rsidR="006F403D" w:rsidRDefault="006F403D" w:rsidP="006F403D">
      <w:pPr>
        <w:pStyle w:val="Textonotaalfinal"/>
      </w:pPr>
      <w:r>
        <w:rPr>
          <w:rStyle w:val="Refdenotaalfinal"/>
        </w:rPr>
        <w:t>*</w:t>
      </w:r>
      <w:r w:rsidR="00137F34">
        <w:t xml:space="preserve"> </w:t>
      </w:r>
      <w:r w:rsidR="00D14A6A">
        <w:t>La revisione della trascrizione è stata condotta sulla base del confr</w:t>
      </w:r>
      <w:r w:rsidR="00813461">
        <w:t>onto sulla pergamena originale; per esigenze di uniformità</w:t>
      </w:r>
      <w:r w:rsidR="00331105">
        <w:t xml:space="preserve"> interne al progetto,</w:t>
      </w:r>
      <w:r w:rsidR="00813461">
        <w:t xml:space="preserve"> si è scelto di riportare in nota</w:t>
      </w:r>
      <w:r w:rsidR="00B91F9E">
        <w:t>, come per le altre precedenti trascrizioni,</w:t>
      </w:r>
      <w:r w:rsidR="001E7DB8">
        <w:t xml:space="preserve"> le varianti di</w:t>
      </w:r>
      <w:r w:rsidR="00813461">
        <w:t xml:space="preserve"> Barsocchini</w:t>
      </w:r>
      <w:r w:rsidR="00B91F9E">
        <w:t>,</w:t>
      </w:r>
      <w:r w:rsidR="00813461">
        <w:t xml:space="preserve"> che tuttavia</w:t>
      </w:r>
      <w:r w:rsidR="00B91F9E">
        <w:t xml:space="preserve"> non diede alle stampe un’edizione c</w:t>
      </w:r>
      <w:r w:rsidR="00985627">
        <w:t>ompleta della carta</w:t>
      </w:r>
      <w:r w:rsidR="00B91F9E">
        <w:t xml:space="preserve"> ma si limitò a </w:t>
      </w:r>
      <w:r w:rsidR="00F11112">
        <w:t>trascrivere soltanto gli elementi costitutivi</w:t>
      </w:r>
      <w:r w:rsidR="00790C3E">
        <w:t xml:space="preserve"> del documento.</w:t>
      </w:r>
    </w:p>
  </w:endnote>
  <w:endnote w:id="3">
    <w:p w14:paraId="308291BE" w14:textId="3CAD5E7E" w:rsidR="00875608" w:rsidRPr="00875608" w:rsidRDefault="00875608">
      <w:pPr>
        <w:pStyle w:val="Textonotaalfinal"/>
        <w:rPr>
          <w:lang w:val="es-ES_tradnl"/>
        </w:rPr>
      </w:pPr>
      <w:r>
        <w:rPr>
          <w:rStyle w:val="Refdenotaalfinal"/>
        </w:rPr>
        <w:endnoteRef/>
      </w:r>
      <w:r>
        <w:t xml:space="preserve"> </w:t>
      </w:r>
      <w:r>
        <w:rPr>
          <w:rFonts w:eastAsia="Times New Roman"/>
        </w:rPr>
        <w:t>Gherardo I, ves</w:t>
      </w:r>
      <w:r w:rsidR="00A75CAE">
        <w:rPr>
          <w:rFonts w:eastAsia="Times New Roman"/>
        </w:rPr>
        <w:t xml:space="preserve">covo di Lucca dall’870 all’895, </w:t>
      </w:r>
      <w:r w:rsidRPr="00414120">
        <w:rPr>
          <w:rFonts w:eastAsia="Times New Roman"/>
          <w:color w:val="000000"/>
        </w:rPr>
        <w:t>Schwarzmaier 1972,</w:t>
      </w:r>
      <w:r>
        <w:rPr>
          <w:rFonts w:eastAsia="Times New Roman"/>
          <w:color w:val="000000"/>
        </w:rPr>
        <w:t xml:space="preserve"> pp. 97-100</w:t>
      </w:r>
      <w:r w:rsidR="002B233E">
        <w:rPr>
          <w:rFonts w:eastAsia="Times New Roman"/>
        </w:rPr>
        <w:t xml:space="preserve"> e </w:t>
      </w:r>
      <w:r w:rsidR="00CB5366">
        <w:rPr>
          <w:rFonts w:eastAsia="Times New Roman"/>
        </w:rPr>
        <w:t xml:space="preserve">Ranallo 1973, </w:t>
      </w:r>
      <w:r w:rsidR="00CB5366">
        <w:t>pp. 720-723.</w:t>
      </w:r>
    </w:p>
  </w:endnote>
  <w:endnote w:id="4">
    <w:p w14:paraId="65AA93AF" w14:textId="4B14B410" w:rsidR="006F403D" w:rsidRDefault="006F403D" w:rsidP="006F403D">
      <w:pPr>
        <w:pStyle w:val="Textonotaalfinal"/>
      </w:pPr>
      <w:r>
        <w:rPr>
          <w:rStyle w:val="Refdenotaalfinal"/>
        </w:rPr>
        <w:t>a</w:t>
      </w:r>
      <w:r>
        <w:t xml:space="preserve"> In Barsocchini “huius sancte Lucane ecclesie humilis episcopus” abbreviato con un “ec.”</w:t>
      </w:r>
    </w:p>
  </w:endnote>
  <w:endnote w:id="5">
    <w:p w14:paraId="5BF09623" w14:textId="77777777" w:rsidR="006F403D" w:rsidRDefault="006F403D" w:rsidP="006F403D">
      <w:pPr>
        <w:pStyle w:val="Textonotaalfinal"/>
      </w:pPr>
      <w:r>
        <w:rPr>
          <w:rStyle w:val="Refdenotaalfinal"/>
        </w:rPr>
        <w:t>b</w:t>
      </w:r>
      <w:r>
        <w:t xml:space="preserve"> In Barsocchini “civit.”.</w:t>
      </w:r>
    </w:p>
  </w:endnote>
  <w:endnote w:id="6">
    <w:p w14:paraId="37BC9654" w14:textId="77777777" w:rsidR="006F403D" w:rsidRDefault="006F403D" w:rsidP="006F403D">
      <w:pPr>
        <w:pStyle w:val="Textonotaalfinal"/>
      </w:pPr>
      <w:r>
        <w:rPr>
          <w:rStyle w:val="Refdenotaalfinal"/>
        </w:rPr>
        <w:t>c</w:t>
      </w:r>
      <w:r>
        <w:t xml:space="preserve"> In Barsocchini “Epis.”</w:t>
      </w:r>
    </w:p>
  </w:endnote>
  <w:endnote w:id="7">
    <w:p w14:paraId="58DFF7A5" w14:textId="77777777" w:rsidR="006F403D" w:rsidRDefault="006F403D" w:rsidP="006F403D">
      <w:pPr>
        <w:pStyle w:val="Textonotaalfinal"/>
      </w:pPr>
      <w:r>
        <w:rPr>
          <w:rStyle w:val="Refdenotaalfinal"/>
        </w:rPr>
        <w:t>d</w:t>
      </w:r>
      <w:r>
        <w:t xml:space="preserve"> In Barsoncchini questo titolo appare sempre abbreviato nella forma: “archip.”.</w:t>
      </w:r>
    </w:p>
  </w:endnote>
  <w:endnote w:id="8">
    <w:p w14:paraId="232C5AB2" w14:textId="77777777" w:rsidR="006F403D" w:rsidRDefault="006F403D" w:rsidP="006F403D">
      <w:pPr>
        <w:pStyle w:val="Textonotaalfinal"/>
      </w:pPr>
      <w:r>
        <w:rPr>
          <w:rStyle w:val="Refdenotaalfinal"/>
        </w:rPr>
        <w:t>e</w:t>
      </w:r>
      <w:r>
        <w:t xml:space="preserve"> In Barsoncchini questo titolo appare sempre abbreviato nella forma: “presb.”.</w:t>
      </w:r>
    </w:p>
  </w:endnote>
  <w:endnote w:id="9">
    <w:p w14:paraId="77A02BC3" w14:textId="77777777" w:rsidR="006F403D" w:rsidRDefault="006F403D" w:rsidP="006F403D">
      <w:pPr>
        <w:pStyle w:val="Textonotaalfinal"/>
      </w:pPr>
      <w:r>
        <w:rPr>
          <w:rStyle w:val="Refdenotaalfinal"/>
        </w:rPr>
        <w:t>f</w:t>
      </w:r>
      <w:r>
        <w:t xml:space="preserve"> In Barsocchini “custodem”.</w:t>
      </w:r>
    </w:p>
  </w:endnote>
  <w:endnote w:id="10">
    <w:p w14:paraId="56BBD485" w14:textId="77777777" w:rsidR="006F403D" w:rsidRDefault="006F403D" w:rsidP="006F403D">
      <w:pPr>
        <w:pStyle w:val="Textonotaalfinal"/>
      </w:pPr>
      <w:r>
        <w:rPr>
          <w:rStyle w:val="Refdenotaalfinal"/>
        </w:rPr>
        <w:t>g</w:t>
      </w:r>
      <w:r>
        <w:t xml:space="preserve"> In Barsocchini “batismalis”.</w:t>
      </w:r>
    </w:p>
  </w:endnote>
  <w:endnote w:id="11">
    <w:p w14:paraId="7ED4D5BE" w14:textId="77777777" w:rsidR="006F403D" w:rsidRDefault="006F403D" w:rsidP="006F403D">
      <w:pPr>
        <w:pStyle w:val="Textonotaalfinal"/>
      </w:pPr>
      <w:r>
        <w:rPr>
          <w:rStyle w:val="Refdenotaalfinal"/>
        </w:rPr>
        <w:t>h</w:t>
      </w:r>
      <w:r>
        <w:t xml:space="preserve"> In Barsocchini appare sempre abbreviato nella forma “Eccl.”.</w:t>
      </w:r>
    </w:p>
  </w:endnote>
  <w:endnote w:id="12">
    <w:p w14:paraId="4618DBA6" w14:textId="77777777" w:rsidR="006F403D" w:rsidRDefault="006F403D" w:rsidP="006F403D">
      <w:pPr>
        <w:pStyle w:val="Textonotaalfinal"/>
      </w:pPr>
      <w:r>
        <w:rPr>
          <w:rStyle w:val="Refdenotaalfinal"/>
        </w:rPr>
        <w:t>i</w:t>
      </w:r>
      <w:r>
        <w:t xml:space="preserve"> In Barsocchini “sito”.</w:t>
      </w:r>
    </w:p>
  </w:endnote>
  <w:endnote w:id="13">
    <w:p w14:paraId="61622B79" w14:textId="1EA503D1" w:rsidR="008B35FE" w:rsidRPr="008B35FE" w:rsidRDefault="008B35FE">
      <w:pPr>
        <w:pStyle w:val="Textonotaalfinal"/>
        <w:rPr>
          <w:lang w:val="es-ES_tradnl"/>
        </w:rPr>
      </w:pPr>
      <w:r>
        <w:rPr>
          <w:rStyle w:val="Refdenotaalfinal"/>
        </w:rPr>
        <w:endnoteRef/>
      </w:r>
      <w:r>
        <w:t xml:space="preserve"> </w:t>
      </w:r>
      <w:r>
        <w:rPr>
          <w:lang w:val="es-ES_tradnl"/>
        </w:rPr>
        <w:t>Arliano, Savigni 1997.</w:t>
      </w:r>
    </w:p>
  </w:endnote>
  <w:endnote w:id="14">
    <w:p w14:paraId="42AF526F" w14:textId="77777777" w:rsidR="006F403D" w:rsidRDefault="006F403D" w:rsidP="006F403D">
      <w:pPr>
        <w:pStyle w:val="Textonotaalfinal"/>
      </w:pPr>
      <w:r>
        <w:rPr>
          <w:rStyle w:val="Refdenotaalfinal"/>
        </w:rPr>
        <w:t>j</w:t>
      </w:r>
      <w:r>
        <w:t xml:space="preserve"> In Barsocchini “habitatores”.</w:t>
      </w:r>
    </w:p>
  </w:endnote>
  <w:endnote w:id="15">
    <w:p w14:paraId="5AFA5213" w14:textId="77777777" w:rsidR="006F403D" w:rsidRDefault="006F403D" w:rsidP="006F403D">
      <w:pPr>
        <w:pStyle w:val="Textonotaalfinal"/>
      </w:pPr>
      <w:r>
        <w:rPr>
          <w:rStyle w:val="Refdenotaalfinal"/>
        </w:rPr>
        <w:t>k</w:t>
      </w:r>
      <w:r>
        <w:t xml:space="preserve"> In Barsocchini “Colugna”.</w:t>
      </w:r>
    </w:p>
  </w:endnote>
  <w:endnote w:id="16">
    <w:p w14:paraId="502B965E" w14:textId="77777777" w:rsidR="006F403D" w:rsidRDefault="006F403D" w:rsidP="006F403D">
      <w:pPr>
        <w:pStyle w:val="Textonotaalfinal"/>
      </w:pPr>
      <w:r>
        <w:rPr>
          <w:rStyle w:val="Refdenotaalfinal"/>
        </w:rPr>
        <w:t>l</w:t>
      </w:r>
      <w:r>
        <w:t xml:space="preserve"> Assente in Barsocchini.</w:t>
      </w:r>
    </w:p>
  </w:endnote>
  <w:endnote w:id="17">
    <w:p w14:paraId="33346A78" w14:textId="77777777" w:rsidR="006F403D" w:rsidRDefault="006F403D" w:rsidP="006F403D">
      <w:pPr>
        <w:pStyle w:val="Textonotaalfinal"/>
      </w:pPr>
      <w:r>
        <w:rPr>
          <w:rStyle w:val="Refdenotaalfinal"/>
        </w:rPr>
        <w:t>m</w:t>
      </w:r>
      <w:r>
        <w:t xml:space="preserve"> D’ora in poi e per tutto il documento, l’edizione di Barsocchini aggiunge, dopo </w:t>
      </w:r>
      <w:r w:rsidRPr="00293692">
        <w:rPr>
          <w:i/>
        </w:rPr>
        <w:t>plebe</w:t>
      </w:r>
      <w:r>
        <w:t>, un semplice “ec.”</w:t>
      </w:r>
    </w:p>
  </w:endnote>
  <w:endnote w:id="18">
    <w:p w14:paraId="7CE53AA8" w14:textId="77777777" w:rsidR="006F403D" w:rsidRDefault="006F403D" w:rsidP="006F403D">
      <w:pPr>
        <w:pStyle w:val="Textonotaalfinal"/>
      </w:pPr>
      <w:r>
        <w:rPr>
          <w:rStyle w:val="Refdenotaalfinal"/>
        </w:rPr>
        <w:t>n</w:t>
      </w:r>
      <w:r>
        <w:t xml:space="preserve"> In Barsocchini “ad”.</w:t>
      </w:r>
    </w:p>
  </w:endnote>
  <w:endnote w:id="19">
    <w:p w14:paraId="010840A9" w14:textId="77777777" w:rsidR="006F403D" w:rsidRDefault="006F403D" w:rsidP="006F403D">
      <w:pPr>
        <w:pStyle w:val="Textonotaalfinal"/>
      </w:pPr>
      <w:r>
        <w:rPr>
          <w:rStyle w:val="Refdenotaalfinal"/>
        </w:rPr>
        <w:t>o</w:t>
      </w:r>
      <w:r>
        <w:t xml:space="preserve"> In Barsocchini “interrogavit”.</w:t>
      </w:r>
    </w:p>
  </w:endnote>
  <w:endnote w:id="20">
    <w:p w14:paraId="34A5502A" w14:textId="77777777" w:rsidR="006F403D" w:rsidRDefault="006F403D" w:rsidP="006F403D">
      <w:pPr>
        <w:pStyle w:val="Textonotaalfinal"/>
      </w:pPr>
      <w:r>
        <w:rPr>
          <w:rStyle w:val="Refdenotaalfinal"/>
        </w:rPr>
        <w:t>p</w:t>
      </w:r>
      <w:r>
        <w:t xml:space="preserve"> In Barsocchini “voluerent”.</w:t>
      </w:r>
    </w:p>
  </w:endnote>
  <w:endnote w:id="21">
    <w:p w14:paraId="45011AA6" w14:textId="77777777" w:rsidR="006F403D" w:rsidRDefault="006F403D" w:rsidP="006F403D">
      <w:pPr>
        <w:pStyle w:val="Textonotaalfinal"/>
      </w:pPr>
      <w:r>
        <w:rPr>
          <w:rStyle w:val="Refdenotaalfinal"/>
        </w:rPr>
        <w:t>q</w:t>
      </w:r>
      <w:r>
        <w:t xml:space="preserve"> “In prenominato” assente in Barsocchini.</w:t>
      </w:r>
    </w:p>
  </w:endnote>
  <w:endnote w:id="22">
    <w:p w14:paraId="56682AE8" w14:textId="77777777" w:rsidR="006F403D" w:rsidRDefault="006F403D" w:rsidP="006F403D">
      <w:pPr>
        <w:pStyle w:val="Textonotaalfinal"/>
      </w:pPr>
      <w:r>
        <w:rPr>
          <w:rStyle w:val="Refdenotaalfinal"/>
        </w:rPr>
        <w:t>r</w:t>
      </w:r>
      <w:r>
        <w:t xml:space="preserve"> “iste” assente in Barsocchini.</w:t>
      </w:r>
    </w:p>
  </w:endnote>
  <w:endnote w:id="23">
    <w:p w14:paraId="7542EB48" w14:textId="77777777" w:rsidR="006F403D" w:rsidRDefault="006F403D" w:rsidP="006F403D">
      <w:pPr>
        <w:pStyle w:val="Textonotaalfinal"/>
      </w:pPr>
      <w:r>
        <w:rPr>
          <w:rStyle w:val="Refdenotaalfinal"/>
        </w:rPr>
        <w:t>s</w:t>
      </w:r>
      <w:r>
        <w:t xml:space="preserve"> In Barsocchini “Andras”.</w:t>
      </w:r>
    </w:p>
  </w:endnote>
  <w:endnote w:id="24">
    <w:p w14:paraId="234923AB" w14:textId="77777777" w:rsidR="006F403D" w:rsidRDefault="006F403D" w:rsidP="006F403D">
      <w:pPr>
        <w:pStyle w:val="Textonotaalfinal"/>
      </w:pPr>
      <w:r>
        <w:rPr>
          <w:rStyle w:val="Refdenotaalfinal"/>
        </w:rPr>
        <w:t>t</w:t>
      </w:r>
      <w:r>
        <w:t xml:space="preserve"> In Barsocchini “presbitero custodem suprascripta ecclesie esse videtur” abbrevviato in “presb. custodem ec.”</w:t>
      </w:r>
    </w:p>
  </w:endnote>
  <w:endnote w:id="25">
    <w:p w14:paraId="47EA09FF" w14:textId="77777777" w:rsidR="006F403D" w:rsidRDefault="006F403D" w:rsidP="006F403D">
      <w:pPr>
        <w:pStyle w:val="Textonotaalfinal"/>
      </w:pPr>
      <w:r>
        <w:rPr>
          <w:rStyle w:val="Refdenotaalfinal"/>
        </w:rPr>
        <w:t>u</w:t>
      </w:r>
      <w:r>
        <w:t xml:space="preserve"> Assente in Barsocchini.</w:t>
      </w:r>
    </w:p>
  </w:endnote>
  <w:endnote w:id="26">
    <w:p w14:paraId="788E6249" w14:textId="77777777" w:rsidR="006F403D" w:rsidRDefault="006F403D" w:rsidP="006F403D">
      <w:pPr>
        <w:pStyle w:val="Textonotaalfinal"/>
      </w:pPr>
      <w:r>
        <w:rPr>
          <w:rStyle w:val="Refdenotaalfinal"/>
        </w:rPr>
        <w:t>v</w:t>
      </w:r>
      <w:r>
        <w:t xml:space="preserve"> In Barsocchini “evang.”.</w:t>
      </w:r>
    </w:p>
  </w:endnote>
  <w:endnote w:id="27">
    <w:p w14:paraId="095D84E2" w14:textId="77777777" w:rsidR="006F403D" w:rsidRDefault="006F403D" w:rsidP="006F403D">
      <w:pPr>
        <w:pStyle w:val="Textonotaalfinal"/>
      </w:pPr>
      <w:r>
        <w:rPr>
          <w:rStyle w:val="Refdenotaalfinal"/>
        </w:rPr>
        <w:t>w</w:t>
      </w:r>
      <w:r>
        <w:t xml:space="preserve"> In Barsocchini “dixissertun”.</w:t>
      </w:r>
    </w:p>
  </w:endnote>
  <w:endnote w:id="28">
    <w:p w14:paraId="63BF770A" w14:textId="77777777" w:rsidR="006F403D" w:rsidRDefault="006F403D" w:rsidP="006F403D">
      <w:pPr>
        <w:pStyle w:val="Textonotaalfinal"/>
      </w:pPr>
      <w:r>
        <w:rPr>
          <w:rStyle w:val="Refdenotaalfinal"/>
        </w:rPr>
        <w:t>x</w:t>
      </w:r>
      <w:r>
        <w:t xml:space="preserve"> Assente in Barsocchini.</w:t>
      </w:r>
    </w:p>
  </w:endnote>
  <w:endnote w:id="29">
    <w:p w14:paraId="4346A987" w14:textId="7462A9EB" w:rsidR="006F403D" w:rsidRDefault="006F403D" w:rsidP="006F403D">
      <w:pPr>
        <w:pStyle w:val="Textonotaalfinal"/>
      </w:pPr>
      <w:r>
        <w:rPr>
          <w:rStyle w:val="Refdenotaalfinal"/>
        </w:rPr>
        <w:t>y</w:t>
      </w:r>
      <w:r>
        <w:t xml:space="preserve"> Da “et” sino a “dixsisserunt” assente in Barsocchini in quello che può essere inteso come il salto </w:t>
      </w:r>
      <w:r>
        <w:rPr>
          <w:i/>
        </w:rPr>
        <w:t xml:space="preserve">du même </w:t>
      </w:r>
      <w:r>
        <w:t xml:space="preserve">(il “dixsisserunt” precedente a “veritatem”) </w:t>
      </w:r>
      <w:r>
        <w:rPr>
          <w:i/>
        </w:rPr>
        <w:t>au même</w:t>
      </w:r>
      <w:r>
        <w:t xml:space="preserve"> (il successivo “dixsisserunt”) compiuto non già da un copista monastico nel momento della trascrizione di uno strumento originale in un cartulario (come è abituale osservare) ma da parte di un </w:t>
      </w:r>
      <w:r w:rsidR="0072366D">
        <w:t>autore</w:t>
      </w:r>
      <w:r>
        <w:t xml:space="preserve"> moder</w:t>
      </w:r>
      <w:r w:rsidR="00C6764B">
        <w:t>no nel momento di procedere alla trascrizione</w:t>
      </w:r>
      <w:r>
        <w:t xml:space="preserve"> della carta. Sugli errori dei copisti vid.</w:t>
      </w:r>
      <w:r w:rsidR="00076C72">
        <w:t xml:space="preserve"> </w:t>
      </w:r>
      <w:r>
        <w:t>Morelle 1993, pp. 91-104 (p. 97).</w:t>
      </w:r>
    </w:p>
  </w:endnote>
  <w:endnote w:id="30">
    <w:p w14:paraId="08E2734B" w14:textId="77777777" w:rsidR="006F403D" w:rsidRDefault="006F403D" w:rsidP="006F403D">
      <w:pPr>
        <w:pStyle w:val="Textonotaalfinal"/>
      </w:pPr>
      <w:r>
        <w:rPr>
          <w:rStyle w:val="Refdenotaalfinal"/>
        </w:rPr>
        <w:t>z</w:t>
      </w:r>
      <w:r>
        <w:t xml:space="preserve"> In Barsocchini “prenominati”.</w:t>
      </w:r>
    </w:p>
  </w:endnote>
  <w:endnote w:id="31">
    <w:p w14:paraId="726DB027" w14:textId="538FED79" w:rsidR="006F403D" w:rsidRDefault="006F403D" w:rsidP="006F403D">
      <w:pPr>
        <w:pStyle w:val="Textonotaalfinal"/>
      </w:pPr>
      <w:r>
        <w:rPr>
          <w:rStyle w:val="Refdenotaalfinal"/>
        </w:rPr>
        <w:t>aa</w:t>
      </w:r>
      <w:r>
        <w:t xml:space="preserve"> Da “Colugnula” a “Formentale”, assente in Barsocchini, che segnala “ec”.</w:t>
      </w:r>
    </w:p>
  </w:endnote>
  <w:endnote w:id="32">
    <w:p w14:paraId="750BB2F0" w14:textId="77777777" w:rsidR="006F403D" w:rsidRDefault="006F403D" w:rsidP="006F403D">
      <w:pPr>
        <w:pStyle w:val="Textonotaalfinal"/>
      </w:pPr>
      <w:r>
        <w:rPr>
          <w:rStyle w:val="Refdenotaalfinal"/>
        </w:rPr>
        <w:t>ab</w:t>
      </w:r>
      <w:r>
        <w:t xml:space="preserve"> In Barsocchini “batismalis”.</w:t>
      </w:r>
    </w:p>
  </w:endnote>
  <w:endnote w:id="33">
    <w:p w14:paraId="5CDC9B3F" w14:textId="77777777" w:rsidR="006F403D" w:rsidRDefault="006F403D" w:rsidP="006F403D">
      <w:pPr>
        <w:pStyle w:val="Textonotaalfinal"/>
      </w:pPr>
      <w:r>
        <w:rPr>
          <w:rStyle w:val="Refdenotaalfinal"/>
        </w:rPr>
        <w:t>ac</w:t>
      </w:r>
      <w:r>
        <w:t xml:space="preserve"> In Barsocchini “ec.”.</w:t>
      </w:r>
    </w:p>
  </w:endnote>
  <w:endnote w:id="34">
    <w:p w14:paraId="163C95AF" w14:textId="77777777" w:rsidR="006F403D" w:rsidRDefault="006F403D" w:rsidP="006F403D">
      <w:pPr>
        <w:pStyle w:val="Textonotaalfinal"/>
      </w:pPr>
      <w:r>
        <w:rPr>
          <w:rStyle w:val="Refdenotaalfinal"/>
        </w:rPr>
        <w:t>ad</w:t>
      </w:r>
      <w:r>
        <w:t xml:space="preserve"> In Barsocchini “not.”.</w:t>
      </w:r>
    </w:p>
  </w:endnote>
  <w:endnote w:id="35">
    <w:p w14:paraId="2D470D3A" w14:textId="77777777" w:rsidR="006F403D" w:rsidRDefault="006F403D" w:rsidP="006F403D">
      <w:pPr>
        <w:pStyle w:val="Textonotaalfinal"/>
      </w:pPr>
      <w:r>
        <w:rPr>
          <w:rStyle w:val="Refdenotaalfinal"/>
        </w:rPr>
        <w:t>ae</w:t>
      </w:r>
      <w:r>
        <w:t xml:space="preserve"> In Barsocchini “imp.”.</w:t>
      </w:r>
    </w:p>
  </w:endnote>
  <w:endnote w:id="36">
    <w:p w14:paraId="19D33BD2" w14:textId="77777777" w:rsidR="006F403D" w:rsidRDefault="006F403D" w:rsidP="006F403D">
      <w:pPr>
        <w:pStyle w:val="Textonotaalfinal"/>
      </w:pPr>
      <w:r>
        <w:rPr>
          <w:rStyle w:val="Refdenotaalfinal"/>
        </w:rPr>
        <w:t>af</w:t>
      </w:r>
      <w:r>
        <w:t xml:space="preserve"> In Barsocchini “indit.”</w:t>
      </w:r>
    </w:p>
  </w:endnote>
  <w:endnote w:id="37">
    <w:p w14:paraId="57AAA148" w14:textId="77777777" w:rsidR="006F403D" w:rsidRDefault="006F403D" w:rsidP="006F403D">
      <w:pPr>
        <w:pStyle w:val="Textonotaalfinal"/>
      </w:pPr>
      <w:r>
        <w:rPr>
          <w:rStyle w:val="Refdenotaalfinal"/>
        </w:rPr>
        <w:t>ag</w:t>
      </w:r>
      <w:r>
        <w:t xml:space="preserve"> In Barsocchini “Epis.”.</w:t>
      </w:r>
    </w:p>
  </w:endnote>
  <w:endnote w:id="38">
    <w:p w14:paraId="47FA37A0" w14:textId="77777777" w:rsidR="006F403D" w:rsidRDefault="006F403D" w:rsidP="006F403D">
      <w:pPr>
        <w:pStyle w:val="Textonotaalfinal"/>
      </w:pPr>
      <w:r>
        <w:rPr>
          <w:rStyle w:val="Refdenotaalfinal"/>
        </w:rPr>
        <w:t>ah</w:t>
      </w:r>
      <w:r>
        <w:t xml:space="preserve"> In Barsocchini “subs.”.</w:t>
      </w:r>
    </w:p>
  </w:endnote>
  <w:endnote w:id="39">
    <w:p w14:paraId="6534C140" w14:textId="77777777" w:rsidR="006F403D" w:rsidRDefault="006F403D" w:rsidP="006F403D">
      <w:pPr>
        <w:pStyle w:val="Textonotaalfinal"/>
      </w:pPr>
      <w:r>
        <w:rPr>
          <w:rStyle w:val="Refdenotaalfinal"/>
        </w:rPr>
        <w:t>ai</w:t>
      </w:r>
      <w:r>
        <w:t xml:space="preserve"> Le sottoscrizioni da “[…] prando” a “Andreas” assenti in Barsocchini.</w:t>
      </w:r>
    </w:p>
  </w:endnote>
  <w:endnote w:id="40">
    <w:p w14:paraId="33E6A312" w14:textId="77777777" w:rsidR="006F403D" w:rsidRDefault="006F403D" w:rsidP="00186949">
      <w:pPr>
        <w:pStyle w:val="Textonotaalfinal"/>
        <w:ind w:left="708" w:hanging="708"/>
      </w:pPr>
      <w:r>
        <w:rPr>
          <w:rStyle w:val="Refdenotaalfinal"/>
        </w:rPr>
        <w:t>aj</w:t>
      </w:r>
      <w:r>
        <w:t xml:space="preserve"> Queste ultime due sottoscrizioni non furono trascritte da Barsocchini nella sua edizione.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9A7FF35" w14:textId="77777777" w:rsidR="006F403D" w:rsidRDefault="006F403D" w:rsidP="006F403D">
      <w:r>
        <w:separator/>
      </w:r>
    </w:p>
  </w:footnote>
  <w:footnote w:type="continuationSeparator" w:id="0">
    <w:p w14:paraId="04ED4044" w14:textId="77777777" w:rsidR="006F403D" w:rsidRDefault="006F403D" w:rsidP="006F403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grammar="clean"/>
  <w:defaultTabStop w:val="708"/>
  <w:hyphenationZone w:val="425"/>
  <w:characterSpacingControl w:val="doNotCompress"/>
  <w:savePreviewPicture/>
  <w:footnotePr>
    <w:footnote w:id="-1"/>
    <w:footnote w:id="0"/>
  </w:footnotePr>
  <w:endnotePr>
    <w:numFmt w:val="decimal"/>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403D"/>
    <w:rsid w:val="000016AD"/>
    <w:rsid w:val="00011DFF"/>
    <w:rsid w:val="00076C72"/>
    <w:rsid w:val="00084859"/>
    <w:rsid w:val="0009345E"/>
    <w:rsid w:val="000D5E45"/>
    <w:rsid w:val="000E524B"/>
    <w:rsid w:val="000E5F72"/>
    <w:rsid w:val="00110C0A"/>
    <w:rsid w:val="001224AA"/>
    <w:rsid w:val="00137F34"/>
    <w:rsid w:val="001839AE"/>
    <w:rsid w:val="00186949"/>
    <w:rsid w:val="001B1316"/>
    <w:rsid w:val="001E7DB8"/>
    <w:rsid w:val="001F7BB6"/>
    <w:rsid w:val="00293692"/>
    <w:rsid w:val="002A08C3"/>
    <w:rsid w:val="002B233E"/>
    <w:rsid w:val="00331105"/>
    <w:rsid w:val="00363A38"/>
    <w:rsid w:val="003A6A38"/>
    <w:rsid w:val="003E104F"/>
    <w:rsid w:val="00414120"/>
    <w:rsid w:val="0044020C"/>
    <w:rsid w:val="004471B7"/>
    <w:rsid w:val="004557AF"/>
    <w:rsid w:val="00474666"/>
    <w:rsid w:val="0052026C"/>
    <w:rsid w:val="005D0BC9"/>
    <w:rsid w:val="005D71A1"/>
    <w:rsid w:val="005E75BF"/>
    <w:rsid w:val="006C5077"/>
    <w:rsid w:val="006E155D"/>
    <w:rsid w:val="006F403D"/>
    <w:rsid w:val="0072366D"/>
    <w:rsid w:val="00790C3E"/>
    <w:rsid w:val="0079443E"/>
    <w:rsid w:val="00813461"/>
    <w:rsid w:val="00841D23"/>
    <w:rsid w:val="00875608"/>
    <w:rsid w:val="008B35FE"/>
    <w:rsid w:val="00955430"/>
    <w:rsid w:val="00985627"/>
    <w:rsid w:val="00A75CAE"/>
    <w:rsid w:val="00A8453B"/>
    <w:rsid w:val="00A84DDA"/>
    <w:rsid w:val="00AB2235"/>
    <w:rsid w:val="00AD05D4"/>
    <w:rsid w:val="00AE308F"/>
    <w:rsid w:val="00B43BBF"/>
    <w:rsid w:val="00B67475"/>
    <w:rsid w:val="00B91F9E"/>
    <w:rsid w:val="00C6764B"/>
    <w:rsid w:val="00CB5366"/>
    <w:rsid w:val="00D14A6A"/>
    <w:rsid w:val="00D34459"/>
    <w:rsid w:val="00D5757B"/>
    <w:rsid w:val="00DE1130"/>
    <w:rsid w:val="00E04781"/>
    <w:rsid w:val="00E17406"/>
    <w:rsid w:val="00E221C9"/>
    <w:rsid w:val="00E25BA8"/>
    <w:rsid w:val="00F11112"/>
    <w:rsid w:val="00FB4978"/>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451CB2D3"/>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s-ES" w:eastAsia="es-E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reference" w:uiPriority="0"/>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403D"/>
    <w:rPr>
      <w:rFonts w:ascii="Times" w:eastAsia="Times" w:hAnsi="Times" w:cs="Times New Roman"/>
      <w:noProof/>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alfinal">
    <w:name w:val="endnote text"/>
    <w:basedOn w:val="Normal"/>
    <w:link w:val="TextonotaalfinalCar"/>
    <w:autoRedefine/>
    <w:rsid w:val="006F403D"/>
    <w:pPr>
      <w:jc w:val="both"/>
    </w:pPr>
    <w:rPr>
      <w:rFonts w:ascii="Times New Roman" w:hAnsi="Times New Roman"/>
      <w:sz w:val="20"/>
    </w:rPr>
  </w:style>
  <w:style w:type="character" w:customStyle="1" w:styleId="TextonotaalfinalCar">
    <w:name w:val="Texto nota al final Car"/>
    <w:basedOn w:val="Fuentedeprrafopredeter"/>
    <w:link w:val="Textonotaalfinal"/>
    <w:rsid w:val="006F403D"/>
    <w:rPr>
      <w:rFonts w:ascii="Times New Roman" w:eastAsia="Times" w:hAnsi="Times New Roman" w:cs="Times New Roman"/>
      <w:noProof/>
      <w:sz w:val="20"/>
      <w:szCs w:val="20"/>
    </w:rPr>
  </w:style>
  <w:style w:type="character" w:styleId="Refdenotaalfinal">
    <w:name w:val="endnote reference"/>
    <w:basedOn w:val="Fuentedeprrafopredeter"/>
    <w:rsid w:val="006F403D"/>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s-ES" w:eastAsia="es-E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reference" w:uiPriority="0"/>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403D"/>
    <w:rPr>
      <w:rFonts w:ascii="Times" w:eastAsia="Times" w:hAnsi="Times" w:cs="Times New Roman"/>
      <w:noProof/>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alfinal">
    <w:name w:val="endnote text"/>
    <w:basedOn w:val="Normal"/>
    <w:link w:val="TextonotaalfinalCar"/>
    <w:autoRedefine/>
    <w:rsid w:val="006F403D"/>
    <w:pPr>
      <w:jc w:val="both"/>
    </w:pPr>
    <w:rPr>
      <w:rFonts w:ascii="Times New Roman" w:hAnsi="Times New Roman"/>
      <w:sz w:val="20"/>
    </w:rPr>
  </w:style>
  <w:style w:type="character" w:customStyle="1" w:styleId="TextonotaalfinalCar">
    <w:name w:val="Texto nota al final Car"/>
    <w:basedOn w:val="Fuentedeprrafopredeter"/>
    <w:link w:val="Textonotaalfinal"/>
    <w:rsid w:val="006F403D"/>
    <w:rPr>
      <w:rFonts w:ascii="Times New Roman" w:eastAsia="Times" w:hAnsi="Times New Roman" w:cs="Times New Roman"/>
      <w:noProof/>
      <w:sz w:val="20"/>
      <w:szCs w:val="20"/>
    </w:rPr>
  </w:style>
  <w:style w:type="character" w:styleId="Refdenotaalfinal">
    <w:name w:val="endnote reference"/>
    <w:basedOn w:val="Fuentedeprrafopredeter"/>
    <w:rsid w:val="006F403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TotalTime>
  <Pages>3</Pages>
  <Words>770</Words>
  <Characters>4239</Characters>
  <Application>Microsoft Macintosh Word</Application>
  <DocSecurity>0</DocSecurity>
  <Lines>35</Lines>
  <Paragraphs>9</Paragraphs>
  <ScaleCrop>false</ScaleCrop>
  <Company>casita</Company>
  <LinksUpToDate>false</LinksUpToDate>
  <CharactersWithSpaces>5000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Santos Salazar</dc:creator>
  <cp:keywords/>
  <dc:description/>
  <cp:lastModifiedBy>Igor Santos Salazar</cp:lastModifiedBy>
  <cp:revision>74</cp:revision>
  <dcterms:created xsi:type="dcterms:W3CDTF">2015-10-12T12:03:00Z</dcterms:created>
  <dcterms:modified xsi:type="dcterms:W3CDTF">2015-12-22T11:06:00Z</dcterms:modified>
</cp:coreProperties>
</file>