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67C4EC" w14:textId="017D5C8E" w:rsidR="00DB4F3F" w:rsidRDefault="00DB4F3F" w:rsidP="00DB4F3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eastAsia="Times New Roman" w:hAnsi="Times New Roman"/>
          <w:b/>
        </w:rPr>
      </w:pPr>
      <w:r>
        <w:rPr>
          <w:rFonts w:ascii="Times New Roman" w:hAnsi="Times New Roman"/>
        </w:rPr>
        <w:t>806 agosto</w:t>
      </w:r>
      <w:r>
        <w:rPr>
          <w:rFonts w:ascii="Times New Roman" w:eastAsia="Times New Roman" w:hAnsi="Times New Roman"/>
          <w:b/>
        </w:rPr>
        <w:t xml:space="preserve">, </w:t>
      </w:r>
      <w:r>
        <w:rPr>
          <w:rFonts w:ascii="Times New Roman" w:eastAsia="Times New Roman" w:hAnsi="Times New Roman"/>
        </w:rPr>
        <w:t>Pistoia</w:t>
      </w:r>
      <w:r w:rsidR="00AC7219">
        <w:rPr>
          <w:rStyle w:val="Refdenotaalfinal"/>
          <w:rFonts w:ascii="Times New Roman" w:eastAsia="Times New Roman" w:hAnsi="Times New Roman"/>
        </w:rPr>
        <w:endnoteReference w:id="1"/>
      </w:r>
    </w:p>
    <w:p w14:paraId="73FA5CBC" w14:textId="77777777" w:rsidR="00DB4F3F" w:rsidRDefault="00DB4F3F" w:rsidP="00DB4F3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b/>
        </w:rPr>
      </w:pPr>
    </w:p>
    <w:p w14:paraId="66C491AE" w14:textId="56322F52" w:rsidR="00DB4F3F" w:rsidRDefault="00DB4F3F" w:rsidP="00DB4F3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r w:rsidRPr="004371A2">
        <w:rPr>
          <w:rFonts w:ascii="Times New Roman" w:hAnsi="Times New Roman"/>
        </w:rPr>
        <w:t>Willerad</w:t>
      </w:r>
      <w:r>
        <w:rPr>
          <w:rFonts w:ascii="Times New Roman" w:hAnsi="Times New Roman"/>
        </w:rPr>
        <w:t xml:space="preserve"> vescovo di Pistoia, </w:t>
      </w:r>
      <w:r w:rsidRPr="004371A2">
        <w:rPr>
          <w:rFonts w:ascii="Times New Roman" w:hAnsi="Times New Roman"/>
        </w:rPr>
        <w:t xml:space="preserve">Damianus </w:t>
      </w:r>
      <w:r>
        <w:rPr>
          <w:rFonts w:ascii="Times New Roman" w:hAnsi="Times New Roman"/>
        </w:rPr>
        <w:t xml:space="preserve">scabino e Petrus vasso del re, in base ai documenti prodotti, giudicano in favore del monastero di San Bartolomeo di </w:t>
      </w:r>
      <w:r w:rsidR="006D437A">
        <w:rPr>
          <w:rFonts w:ascii="Times New Roman" w:hAnsi="Times New Roman"/>
        </w:rPr>
        <w:t>Pistoia</w:t>
      </w:r>
      <w:r w:rsidR="00D205F2">
        <w:rPr>
          <w:rFonts w:ascii="Times New Roman" w:hAnsi="Times New Roman"/>
        </w:rPr>
        <w:t>, difeso dallo scabino Gislari,</w:t>
      </w:r>
      <w:r>
        <w:rPr>
          <w:rFonts w:ascii="Times New Roman" w:hAnsi="Times New Roman"/>
        </w:rPr>
        <w:t xml:space="preserve"> contro </w:t>
      </w:r>
      <w:r w:rsidRPr="001A2A7B">
        <w:rPr>
          <w:rFonts w:ascii="Times New Roman" w:hAnsi="Times New Roman"/>
        </w:rPr>
        <w:t xml:space="preserve">Gislari </w:t>
      </w:r>
      <w:r w:rsidR="00490BF7">
        <w:t>filio quondam Gisoni</w:t>
      </w:r>
      <w:r w:rsidR="00BF0486">
        <w:t>,</w:t>
      </w:r>
      <w:r w:rsidR="00490BF7">
        <w:rPr>
          <w:rFonts w:ascii="Times New Roman" w:hAnsi="Times New Roman"/>
        </w:rPr>
        <w:t xml:space="preserve"> </w:t>
      </w:r>
      <w:r>
        <w:rPr>
          <w:rFonts w:ascii="Times New Roman" w:hAnsi="Times New Roman"/>
        </w:rPr>
        <w:t>rappresentante della corte regia</w:t>
      </w:r>
      <w:r w:rsidR="00D205F2">
        <w:rPr>
          <w:rFonts w:ascii="Times New Roman" w:hAnsi="Times New Roman"/>
        </w:rPr>
        <w:t>,</w:t>
      </w:r>
      <w:r>
        <w:rPr>
          <w:rFonts w:ascii="Times New Roman" w:hAnsi="Times New Roman"/>
        </w:rPr>
        <w:t xml:space="preserve"> nella lite </w:t>
      </w:r>
      <w:r w:rsidR="00792D52">
        <w:rPr>
          <w:rFonts w:ascii="Times New Roman" w:hAnsi="Times New Roman"/>
        </w:rPr>
        <w:t xml:space="preserve">sorta </w:t>
      </w:r>
      <w:r>
        <w:rPr>
          <w:rFonts w:ascii="Times New Roman" w:hAnsi="Times New Roman"/>
        </w:rPr>
        <w:t>per la chiesa di San Pie</w:t>
      </w:r>
      <w:r w:rsidR="00643BD2">
        <w:rPr>
          <w:rFonts w:ascii="Times New Roman" w:hAnsi="Times New Roman"/>
        </w:rPr>
        <w:t xml:space="preserve">tro e Paolo e di San Anastasio donata </w:t>
      </w:r>
      <w:r>
        <w:rPr>
          <w:rFonts w:ascii="Times New Roman" w:hAnsi="Times New Roman"/>
        </w:rPr>
        <w:t>al monastero dal fu</w:t>
      </w:r>
      <w:r w:rsidRPr="001A2A7B">
        <w:rPr>
          <w:rFonts w:ascii="Times New Roman" w:hAnsi="Times New Roman"/>
        </w:rPr>
        <w:t xml:space="preserve"> Ratpertus.</w:t>
      </w:r>
    </w:p>
    <w:p w14:paraId="3F3F2553" w14:textId="77777777" w:rsidR="00DB4F3F" w:rsidRDefault="00DB4F3F" w:rsidP="00DB4F3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b/>
        </w:rPr>
      </w:pPr>
    </w:p>
    <w:p w14:paraId="7487B3A5" w14:textId="77777777" w:rsidR="00DB4F3F" w:rsidRDefault="00DB4F3F" w:rsidP="00DB4F3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rPr>
      </w:pPr>
      <w:r>
        <w:rPr>
          <w:rFonts w:ascii="Times New Roman" w:hAnsi="Times New Roman"/>
        </w:rPr>
        <w:t xml:space="preserve">Copia del sec. XI. </w:t>
      </w:r>
    </w:p>
    <w:p w14:paraId="1503C09F" w14:textId="3E8B73AF" w:rsidR="00DB4F3F" w:rsidRDefault="00DB4F3F" w:rsidP="00DB4F3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r>
        <w:rPr>
          <w:rFonts w:ascii="Times New Roman" w:hAnsi="Times New Roman"/>
        </w:rPr>
        <w:t>Archivio di Stato di Firenze, Diplomatico, monastero di San Bartolomeo di Pistoia [B]</w:t>
      </w:r>
      <w:r w:rsidR="00092B82">
        <w:rPr>
          <w:rStyle w:val="Refdenotaalfinal"/>
          <w:rFonts w:ascii="Times New Roman" w:hAnsi="Times New Roman"/>
        </w:rPr>
        <w:endnoteReference w:customMarkFollows="1" w:id="2"/>
        <w:t>*</w:t>
      </w:r>
      <w:r>
        <w:rPr>
          <w:rFonts w:ascii="Times New Roman" w:hAnsi="Times New Roman"/>
        </w:rPr>
        <w:t>.</w:t>
      </w:r>
    </w:p>
    <w:p w14:paraId="4C015B05" w14:textId="77777777" w:rsidR="00DB4F3F" w:rsidRDefault="00DB4F3F" w:rsidP="00DB4F3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b/>
        </w:rPr>
      </w:pPr>
    </w:p>
    <w:p w14:paraId="6B0D9EB0" w14:textId="017053B8" w:rsidR="00DB4F3F" w:rsidRDefault="00DB4F3F" w:rsidP="00DB4F3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r>
        <w:rPr>
          <w:rFonts w:ascii="Times New Roman" w:eastAsia="Times New Roman" w:hAnsi="Times New Roman"/>
        </w:rPr>
        <w:t xml:space="preserve">Edizione: </w:t>
      </w:r>
      <w:r w:rsidR="00FF4C1B">
        <w:rPr>
          <w:rFonts w:ascii="Times New Roman" w:eastAsia="Times New Roman" w:hAnsi="Times New Roman"/>
        </w:rPr>
        <w:t>Manaresi</w:t>
      </w:r>
      <w:r w:rsidR="002C1846">
        <w:rPr>
          <w:rFonts w:ascii="Times New Roman" w:eastAsia="Times New Roman" w:hAnsi="Times New Roman"/>
        </w:rPr>
        <w:t>, n. 19</w:t>
      </w:r>
    </w:p>
    <w:p w14:paraId="048DB7E8" w14:textId="77777777" w:rsidR="00DB4F3F" w:rsidRDefault="00DB4F3F" w:rsidP="00DB4F3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p>
    <w:p w14:paraId="4509FBC9" w14:textId="20696DD1" w:rsidR="00DB4F3F" w:rsidRDefault="00DB4F3F" w:rsidP="00282552">
      <w:pPr>
        <w:pStyle w:val="Textodecuerpo"/>
      </w:pPr>
      <w:r>
        <w:t xml:space="preserve">+ Exemplar. </w:t>
      </w:r>
      <w:r w:rsidR="001241F4" w:rsidRPr="008D1185">
        <w:t>+</w:t>
      </w:r>
      <w:r w:rsidR="001241F4" w:rsidRPr="001241F4">
        <w:rPr>
          <w:color w:val="FF0000"/>
        </w:rPr>
        <w:t xml:space="preserve"> </w:t>
      </w:r>
      <w:r>
        <w:t>In nomine Patris et Filii et Spiritu Sancti. Karolus serenissimus augustus a Deo electus et coronatus magnificus et</w:t>
      </w:r>
      <w:r w:rsidR="00536969">
        <w:t xml:space="preserve"> pacificus imperator Romanum guv</w:t>
      </w:r>
      <w:r>
        <w:t>ernans</w:t>
      </w:r>
      <w:r>
        <w:rPr>
          <w:rStyle w:val="Refdenotaalfinal"/>
        </w:rPr>
        <w:endnoteReference w:customMarkFollows="1" w:id="3"/>
        <w:t>a</w:t>
      </w:r>
      <w:r>
        <w:t xml:space="preserve"> imperium, qui et per misericordiam Dei rex Francorum et Langobardorum ac patricio Romanorum in Etalia, postquam Papia c</w:t>
      </w:r>
      <w:r w:rsidR="0095317F">
        <w:t>iv</w:t>
      </w:r>
      <w:r>
        <w:t>itate ingressus est, anno trigesimo tertio, et filio eius Pipino regem La</w:t>
      </w:r>
      <w:r w:rsidR="008C47A0">
        <w:t>ngobardorum anno regni eius v</w:t>
      </w:r>
      <w:r w:rsidR="00536969">
        <w:t>ige</w:t>
      </w:r>
      <w:r>
        <w:t>simo sexto</w:t>
      </w:r>
      <w:r w:rsidR="001F173F">
        <w:rPr>
          <w:rStyle w:val="Refdenotaalfinal"/>
        </w:rPr>
        <w:endnoteReference w:customMarkFollows="1" w:id="4"/>
        <w:t>b</w:t>
      </w:r>
      <w:r>
        <w:t>, mense augusto, per indictione quartadecima, feliciter. Dum in Dei nomine nos Guillerad</w:t>
      </w:r>
      <w:r w:rsidR="00B304F3">
        <w:rPr>
          <w:rStyle w:val="Refdenotaalfinal"/>
        </w:rPr>
        <w:endnoteReference w:id="5"/>
      </w:r>
      <w:r>
        <w:t xml:space="preserve"> religiosus episcopus sancte Pistoriensis Ecclesie seu Iohannes scabino</w:t>
      </w:r>
      <w:r w:rsidR="00F124F5">
        <w:rPr>
          <w:rStyle w:val="Refdenotaalfinal"/>
        </w:rPr>
        <w:endnoteReference w:id="6"/>
      </w:r>
      <w:r>
        <w:t xml:space="preserve"> necnon Petrus guasso domni regis</w:t>
      </w:r>
      <w:r w:rsidR="00B84945">
        <w:rPr>
          <w:rStyle w:val="Refdenotaalfinal"/>
        </w:rPr>
        <w:endnoteReference w:id="7"/>
      </w:r>
      <w:r w:rsidR="002855E9">
        <w:t>,</w:t>
      </w:r>
      <w:r>
        <w:t xml:space="preserve"> resedissemus in iudicio ad singulorum hominum iustitiam faciendum ac deliberandum, residentibus nobiscum Magenrad comes, Rachinari g</w:t>
      </w:r>
      <w:r w:rsidR="00B76974">
        <w:t>astaldius, Ifferad presbiter, Av</w:t>
      </w:r>
      <w:r>
        <w:t>erolphus</w:t>
      </w:r>
      <w:r w:rsidR="001F173F">
        <w:rPr>
          <w:rStyle w:val="Refdenotaalfinal"/>
        </w:rPr>
        <w:endnoteReference w:customMarkFollows="1" w:id="8"/>
        <w:t>c</w:t>
      </w:r>
      <w:r>
        <w:t xml:space="preserve"> dia</w:t>
      </w:r>
      <w:r w:rsidR="001F173F">
        <w:t>conus, Tassimanno et Iohannes fi</w:t>
      </w:r>
      <w:r w:rsidR="00C1578C">
        <w:t>lio quondam Gregori</w:t>
      </w:r>
      <w:r w:rsidR="00C1578C">
        <w:rPr>
          <w:rStyle w:val="Refdenotaalfinal"/>
        </w:rPr>
        <w:endnoteReference w:customMarkFollows="1" w:id="9"/>
        <w:t>d</w:t>
      </w:r>
      <w:r>
        <w:t>, Anselmi filio quondam Alchisi et reliqui</w:t>
      </w:r>
      <w:r w:rsidR="00E70D2A">
        <w:t xml:space="preserve"> plures. Ibique eorum omnium adv</w:t>
      </w:r>
      <w:r w:rsidR="00E873A5">
        <w:t>enerunt presentia ad inv</w:t>
      </w:r>
      <w:r w:rsidR="00A30F8C">
        <w:t>icem inter se altercationis hav</w:t>
      </w:r>
      <w:r>
        <w:t>entis Gisilari filio quondam Gisoni, qui causam curtis domni regis peragebat, necnon et Gisilari scabino</w:t>
      </w:r>
      <w:r w:rsidR="00B80312">
        <w:rPr>
          <w:rStyle w:val="Refdenotaalfinal"/>
        </w:rPr>
        <w:endnoteReference w:id="10"/>
      </w:r>
      <w:r>
        <w:t xml:space="preserve">, qui tunc procurator erat </w:t>
      </w:r>
      <w:r w:rsidR="007B7E94">
        <w:t>monasterii Sancti Bartholomei, u</w:t>
      </w:r>
      <w:r>
        <w:t>bi Ildipert abbas preesse videtur. Tunc pulsantes eos ipse Gisilari filio quondam Gisoni dicens per quid abet da parte monasterii ecclesia et casas et res sanctorum Petri et Pauli et sancti Anast</w:t>
      </w:r>
      <w:r w:rsidR="0063707D">
        <w:t>asii intra hanc Pistoriensem civ</w:t>
      </w:r>
      <w:r>
        <w:t xml:space="preserve">itatem qui fuit quondam Ratperti, quem a parte curtis domni regis pertinere debetur. Tum dixit Gisilari da parte monasterii: </w:t>
      </w:r>
      <w:r w:rsidR="00FF104F">
        <w:t>“Non est veritas quod ecclesia v</w:t>
      </w:r>
      <w:r>
        <w:t xml:space="preserve">el res ipsa a parte </w:t>
      </w:r>
      <w:r w:rsidR="00042346">
        <w:t>curtis domni regis pertinere dev</w:t>
      </w:r>
      <w:r>
        <w:t>eat, eo quod ecce monimina pre manibus habemus quomodo ecclesia et res ipsa sancti mon</w:t>
      </w:r>
      <w:r w:rsidR="007B7E94">
        <w:t>asterii beati Bartholommei debe</w:t>
      </w:r>
      <w:r>
        <w:t>t</w:t>
      </w:r>
      <w:r w:rsidR="007B7E94">
        <w:rPr>
          <w:rStyle w:val="Refdenotaalfinal"/>
        </w:rPr>
        <w:endnoteReference w:customMarkFollows="1" w:id="11"/>
        <w:t>e</w:t>
      </w:r>
      <w:r>
        <w:t xml:space="preserve"> pertinere”. Idcirco nos auditores fecimus moniminas coram nos relegi ipsas. Conscriptum erat unum</w:t>
      </w:r>
      <w:r w:rsidR="009B671B">
        <w:rPr>
          <w:rStyle w:val="Refdenotaalfinal"/>
        </w:rPr>
        <w:endnoteReference w:customMarkFollows="1" w:id="12"/>
        <w:t>f</w:t>
      </w:r>
      <w:r>
        <w:t xml:space="preserve"> ex ipsis per</w:t>
      </w:r>
      <w:r w:rsidR="009215F6">
        <w:t xml:space="preserve"> manus quondam Teuderam notari</w:t>
      </w:r>
      <w:r w:rsidR="009215F6">
        <w:rPr>
          <w:rStyle w:val="Refdenotaalfinal"/>
        </w:rPr>
        <w:endnoteReference w:customMarkFollows="1" w:id="13"/>
        <w:t>g</w:t>
      </w:r>
      <w:r w:rsidR="00D85C5C">
        <w:t>, contenentes</w:t>
      </w:r>
      <w:r w:rsidR="00D85C5C">
        <w:rPr>
          <w:rStyle w:val="Refdenotaalfinal"/>
        </w:rPr>
        <w:endnoteReference w:customMarkFollows="1" w:id="14"/>
        <w:t>h</w:t>
      </w:r>
      <w:r>
        <w:t xml:space="preserve"> in eum quomodo his ipse Ratpert offerue</w:t>
      </w:r>
      <w:r w:rsidR="006F7555">
        <w:t>rat monasterii sancti Bartholom</w:t>
      </w:r>
      <w:r>
        <w:t>ei quartam ration</w:t>
      </w:r>
      <w:r w:rsidR="006F7555">
        <w:t>e ex omnibus rebus suis et insim</w:t>
      </w:r>
      <w:r>
        <w:t>ul mundium et frea</w:t>
      </w:r>
      <w:r w:rsidR="001176B1">
        <w:rPr>
          <w:rStyle w:val="Refdenotaalfinal"/>
        </w:rPr>
        <w:endnoteReference w:customMarkFollows="1" w:id="15"/>
        <w:t>i</w:t>
      </w:r>
      <w:r>
        <w:t xml:space="preserve"> Gumperge et Gisae filie suae cum omnes leges et pertinentias earum, qualiter eis pertinuerunt, una cum personas illarum, ut quatenus sub obedientia abatisse et sub statuta regula in monasterio sancti Gregori, cellula ip</w:t>
      </w:r>
      <w:r w:rsidR="008846FE">
        <w:t>sius monasterii sancti Bartholo</w:t>
      </w:r>
      <w:r w:rsidR="006F7555">
        <w:t>m</w:t>
      </w:r>
      <w:r>
        <w:t>ei, permanere deberent, et reliqua quarta r</w:t>
      </w:r>
      <w:r w:rsidR="00484486">
        <w:t>atione ex sua substantia iudicav</w:t>
      </w:r>
      <w:r>
        <w:t>erat et tradiderat Dominici, qui tunc fuit abbas ipsius m</w:t>
      </w:r>
      <w:r w:rsidR="00EE1E48">
        <w:t>onasterii, ut quatinus per eum v</w:t>
      </w:r>
      <w:r>
        <w:t>el per posteris atque successoribus suis p</w:t>
      </w:r>
      <w:r w:rsidR="00F06AFB">
        <w:t>ost decessum ipsius Ratperti dev</w:t>
      </w:r>
      <w:r w:rsidR="00CD645C">
        <w:t>irent esse v</w:t>
      </w:r>
      <w:r>
        <w:t>enundatas pretio tollendum pro anima eius disspensan</w:t>
      </w:r>
      <w:r w:rsidR="00E12C18">
        <w:t>dum, aut si eas res sibi emere v</w:t>
      </w:r>
      <w:r w:rsidR="001176B1">
        <w:t>olerent, stav</w:t>
      </w:r>
      <w:r>
        <w:t>ile ordine debeat permanere, et per i</w:t>
      </w:r>
      <w:r w:rsidR="007E3F50">
        <w:t>psa cartula ipse Ratpert ordinaverat et firmav</w:t>
      </w:r>
      <w:r>
        <w:t>e</w:t>
      </w:r>
      <w:r w:rsidR="00A23E40">
        <w:t>rat iam dictus Dominicus abbas v</w:t>
      </w:r>
      <w:r>
        <w:t>el posterisque succesoribus eius in suprascripta ecclesia oratorio beati Sancti Petri et Pauli seu Anasta</w:t>
      </w:r>
      <w:r w:rsidR="00250F15">
        <w:t>si, quem in suo privilegio intra hanc civ</w:t>
      </w:r>
      <w:r>
        <w:t>itate</w:t>
      </w:r>
      <w:r w:rsidR="00250F15">
        <w:t>m nostra Pistoriense edificare v</w:t>
      </w:r>
      <w:r>
        <w:t>isus fuit, ut quatenu</w:t>
      </w:r>
      <w:r w:rsidR="004E79D8">
        <w:t>s ab illo die in ipsius abatis v</w:t>
      </w:r>
      <w:r>
        <w:t>el de posterisque successoribus eius ipse sanctum or</w:t>
      </w:r>
      <w:r w:rsidR="0083411E">
        <w:t>aculum potestatibus subiaceret v</w:t>
      </w:r>
      <w:r>
        <w:t xml:space="preserve">el de </w:t>
      </w:r>
      <w:r w:rsidR="00AF5372">
        <w:t>ipso monasterio Sancti Bartholo</w:t>
      </w:r>
      <w:r>
        <w:t xml:space="preserve">mei una cum omnis aedificia case seu curte orto erga ipso oratorio suo omnia </w:t>
      </w:r>
      <w:r>
        <w:lastRenderedPageBreak/>
        <w:t>in integrum. In illa medietas de res sua, quem, sicut supra le</w:t>
      </w:r>
      <w:r w:rsidR="00483C53">
        <w:t>gitur, iudicaverat pertinere dev</w:t>
      </w:r>
      <w:r>
        <w:t>eret in ipsa sorte, et filie eius, qui ei legibus succe</w:t>
      </w:r>
      <w:r w:rsidR="00517AFB">
        <w:t>dere potuisserunt, accipere salv</w:t>
      </w:r>
      <w:r>
        <w:t>atione pro ipse aedificia et pro solamenta et curte et orto in alie loca ubicumque haberent. Rursum nobis ipse Gisilari procurator ipsius monasterii ostensit cartula</w:t>
      </w:r>
      <w:r w:rsidR="00517AFB">
        <w:rPr>
          <w:rStyle w:val="Refdenotaalfinal"/>
        </w:rPr>
        <w:endnoteReference w:customMarkFollows="1" w:id="16"/>
        <w:t>j</w:t>
      </w:r>
      <w:r>
        <w:t xml:space="preserve"> ubi legebatur quomodo iam </w:t>
      </w:r>
      <w:r w:rsidR="00C42B39">
        <w:t>nominatus Dominicus abbas firmav</w:t>
      </w:r>
      <w:r>
        <w:t>erat in Arimund presbitero suprascripta ecclesia una cum aedificia case seu curte et orto; erga ipsa ecclesia in e</w:t>
      </w:r>
      <w:r w:rsidR="00584A1D">
        <w:t>ius esset potestatem offi</w:t>
      </w:r>
      <w:r>
        <w:t>cio peragendum seu missa et luminaria in ipsa ecclesia faciendum, et res ipsius quondam Ratperti de quant</w:t>
      </w:r>
      <w:r w:rsidR="00D7694A">
        <w:t>um ipse Ratpert per dotes decrev</w:t>
      </w:r>
      <w:r>
        <w:t xml:space="preserve">erat medietas excepto personas hominibus; nam, ut dictum est, alia res </w:t>
      </w:r>
      <w:r w:rsidR="00A36BFD">
        <w:t>medietas in eius firmav</w:t>
      </w:r>
      <w:r>
        <w:t xml:space="preserve">erat potestatem usufructuandi una cum Rachipert et Austrualda </w:t>
      </w:r>
      <w:r w:rsidR="005B54FE">
        <w:t>filia ipsius Ratperti et curte v</w:t>
      </w:r>
      <w:r>
        <w:t>el res ipsa regendum elemosina</w:t>
      </w:r>
      <w:r w:rsidR="00584A1D">
        <w:t xml:space="preserve"> trib[u]endum</w:t>
      </w:r>
      <w:r w:rsidR="00517AFB">
        <w:rPr>
          <w:rStyle w:val="Refdenotaalfinal"/>
        </w:rPr>
        <w:endnoteReference w:customMarkFollows="1" w:id="17"/>
        <w:t>k</w:t>
      </w:r>
      <w:r>
        <w:t>, et post obito ipsorum Arimund, Rachipert, Austroalde omnia tam ipsa ecclesia et</w:t>
      </w:r>
      <w:r w:rsidR="00A06FC6">
        <w:t xml:space="preserve"> case et res in eiusdem abatis v</w:t>
      </w:r>
      <w:r>
        <w:t>el ipsius</w:t>
      </w:r>
      <w:r w:rsidR="00D00BFC">
        <w:t xml:space="preserve"> sancti Bartholo</w:t>
      </w:r>
      <w:r>
        <w:t>m</w:t>
      </w:r>
      <w:r w:rsidR="00CF2C2A">
        <w:t>m</w:t>
      </w:r>
      <w:r>
        <w:t>ei mo</w:t>
      </w:r>
      <w:r w:rsidR="006D02E0">
        <w:t>nasterii et ad eius rectoris rev</w:t>
      </w:r>
      <w:r>
        <w:t>erteret potestatem et dominationem. Unde tunc dum suprascripta mo</w:t>
      </w:r>
      <w:r w:rsidR="003C396D">
        <w:t>niminas relegi fecimus et cognov</w:t>
      </w:r>
      <w:r>
        <w:t>imus eas continent</w:t>
      </w:r>
      <w:r w:rsidR="00B416AC">
        <w:t>es omnino ut supra declarav</w:t>
      </w:r>
      <w:r w:rsidR="0054280F">
        <w:t>imus. C</w:t>
      </w:r>
      <w:r>
        <w:t xml:space="preserve">ontinuo ipse Gisilari, qui causa curtis domni regis peragebat, dixit: “Nichil nobis inpediunt moniminas hanc quas ostendistis, quia </w:t>
      </w:r>
      <w:r w:rsidR="00F21F0D">
        <w:t>ego possum talem consignationem</w:t>
      </w:r>
      <w:r>
        <w:t xml:space="preserve"> facere, quomodo pars curtis domni regis de casas et res quondam Ratperti hic intra</w:t>
      </w:r>
      <w:r w:rsidR="00935761">
        <w:t xml:space="preserve"> hanc Pistoriensem civ</w:t>
      </w:r>
      <w:r w:rsidR="00CB6483">
        <w:t xml:space="preserve">itatem </w:t>
      </w:r>
      <w:r w:rsidR="00CB6483" w:rsidRPr="00935761">
        <w:t>inv</w:t>
      </w:r>
      <w:r w:rsidRPr="00935761">
        <w:t>estita</w:t>
      </w:r>
      <w:r>
        <w:t xml:space="preserve"> fuit et Austrualda</w:t>
      </w:r>
      <w:r w:rsidR="002B7917">
        <w:t xml:space="preserve"> exinde a parte domni regis serv</w:t>
      </w:r>
      <w:r>
        <w:t>itium faciebat”. Quapropter</w:t>
      </w:r>
      <w:r w:rsidR="00394540">
        <w:t xml:space="preserve"> nos qui supra auditores iudicav</w:t>
      </w:r>
      <w:r>
        <w:t>imus et fecimus ipso Gisilari da parte curtis domni regis a parte ipsius s</w:t>
      </w:r>
      <w:r w:rsidR="00296985">
        <w:t>acri monasterii sancti Bartholo</w:t>
      </w:r>
      <w:r>
        <w:t>mei dare guadia consignatione ipsa faciendi, sicut dixerat. Unde dum postea in cons</w:t>
      </w:r>
      <w:r w:rsidR="00810D0B">
        <w:t>tituta die utrisque partibus rev</w:t>
      </w:r>
      <w:r>
        <w:t>enerunt ante nos iam memorati auditores ipsis causatoribus adduxit ipse Gisilari da parte domni regis testimonia, id sunt Fusulo filio quondam B</w:t>
      </w:r>
      <w:r w:rsidR="00A6755D">
        <w:t>autoni, Formusulo filio quondam</w:t>
      </w:r>
      <w:r w:rsidR="0077252D">
        <w:t xml:space="preserve"> Guillerad, Maurello, Ciav</w:t>
      </w:r>
      <w:r>
        <w:t>ario et Gregorius, qui nobi</w:t>
      </w:r>
      <w:r w:rsidR="00DA10CE">
        <w:t>s singulatim ac separatim ab inv</w:t>
      </w:r>
      <w:r>
        <w:t>icem diligenter et studiose ad nos inquisiti equabiliter nobis testimonium unum dederunt: “Scimus de casa et res illa qui fuit Ratpert genitori Austroalde intra hanc Pisto</w:t>
      </w:r>
      <w:r w:rsidR="00BE2AB7">
        <w:t>riensem civ</w:t>
      </w:r>
      <w:r>
        <w:t>itatem, unde intentione inter parte domni regis et pars monasterii sancti Bartholommei, quia exinde fuit parte curte domni regis investita et homines curtis domni regis inivi intus erat et ipse Austrualda exinde a parte domni regis, idest Amulri</w:t>
      </w:r>
      <w:r w:rsidR="00A52DE9">
        <w:t>chi et Adalperti comitibus serv</w:t>
      </w:r>
      <w:r>
        <w:t>icium faciebat et tutoris eius erant Gisilari et Teudici, qui exinde a parte domni regis causa peragebat, et, quod hoc simus, sunt annos quinque et amplius”. Set quia non dixerunt ipsi testibus quod casa et res ipsa pars domni regis per quinque annos possedisset, et qualiter ipsi testibus</w:t>
      </w:r>
      <w:r w:rsidR="00814DE8">
        <w:t xml:space="preserve"> dixerunt per sacramentum firmav</w:t>
      </w:r>
      <w:r>
        <w:t>erunt testimonium suum. Et insuper ipse Gisilari da parte domni regis iu</w:t>
      </w:r>
      <w:r w:rsidR="004C4E81">
        <w:t>rato dixit per hec sancte Dei ev</w:t>
      </w:r>
      <w:r>
        <w:t>angelia quia: “Qualiter testi isti de causa ista da parte domni</w:t>
      </w:r>
      <w:r w:rsidR="00EF69CC">
        <w:t xml:space="preserve"> regis testimomium reddiderunt v</w:t>
      </w:r>
      <w:r>
        <w:t>eritatem dixerunt. Pro ideo nobis sepe nominatis auditores recte paruit, ideo iudicavimus et fecimus exinde secundum suprascriptorum te</w:t>
      </w:r>
      <w:r w:rsidR="00406311">
        <w:t>stimonium pars curtis regiae rev</w:t>
      </w:r>
      <w:r w:rsidR="006C1827">
        <w:t>estire, ita ut post rev</w:t>
      </w:r>
      <w:r>
        <w:t>estitura adhuc exinde iudiciu</w:t>
      </w:r>
      <w:r w:rsidR="00745783">
        <w:t>m haberent. Ob hoc post ipsa rev</w:t>
      </w:r>
      <w:r>
        <w:t>estitura ipse Ildipert abbas cum alio procuratore suo, idest suprascript</w:t>
      </w:r>
      <w:r w:rsidR="00747096">
        <w:t>o Petrus guasso domni regis, rev</w:t>
      </w:r>
      <w:r>
        <w:t>ersus est ante nos iam nominatus Guillerad episcopus et Damiano scabino de Barb</w:t>
      </w:r>
      <w:r w:rsidR="00F546E8">
        <w:t>arorum</w:t>
      </w:r>
      <w:r w:rsidR="00832F67">
        <w:rPr>
          <w:rStyle w:val="Refdenotaalfinal"/>
        </w:rPr>
        <w:endnoteReference w:customMarkFollows="1" w:id="18"/>
        <w:t>l</w:t>
      </w:r>
      <w:r>
        <w:t xml:space="preserve"> in iudicio in presentia ipsius com</w:t>
      </w:r>
      <w:r w:rsidR="00934249">
        <w:t>itis, u</w:t>
      </w:r>
      <w:r>
        <w:t>bi erant nobiscum Iohannes filius quondam Gregorii, Ifferad presbiter, Tassim</w:t>
      </w:r>
      <w:r w:rsidR="007141CB">
        <w:t>anno, Petrus filius Iohannis, Av</w:t>
      </w:r>
      <w:r>
        <w:t xml:space="preserve">erolphus diaconus, Guitterad et alii plures. Ibique coram nos </w:t>
      </w:r>
      <w:r w:rsidR="006E2EF9">
        <w:t>omnes ipse Petrus asserv</w:t>
      </w:r>
      <w:r>
        <w:t xml:space="preserve">it suprascripto Gisilari contra partem domni regis dicens: “Ecclesiam beatissimorum Sanctorum Petri et Pauli et Anastasii et casas et res ipsas qui fuit quondam Ratperti </w:t>
      </w:r>
      <w:r w:rsidR="00A95A7D">
        <w:t>intra hanc Pistoriensem civ</w:t>
      </w:r>
      <w:r w:rsidR="001148E1">
        <w:t>itatem, unde v</w:t>
      </w:r>
      <w:r w:rsidR="00F760AE">
        <w:t>os iam iste Ildipertus abbas rev</w:t>
      </w:r>
      <w:r w:rsidR="00CC38DA">
        <w:t>estiv</w:t>
      </w:r>
      <w:r>
        <w:t xml:space="preserve">it, iniuste habetis, </w:t>
      </w:r>
      <w:r w:rsidRPr="0095317F">
        <w:t>quoniam</w:t>
      </w:r>
      <w:r>
        <w:t xml:space="preserve"> ecce moniminas pre manibus habemus quomodo monasterii sancti Bartholomei legibus pertinere deberet”. Et ideo nos sepe dictis auditores fecimus eas ante nos relegi. Cognovimus quia suprascriptas moniminas erant quem iam su</w:t>
      </w:r>
      <w:r w:rsidR="008E74B5">
        <w:t>perius circumscripta sunt et inv</w:t>
      </w:r>
      <w:r>
        <w:t>enimus eas continentes omnino sicu</w:t>
      </w:r>
      <w:r w:rsidR="00FE4072">
        <w:t>t iam superius recensiti sumus.</w:t>
      </w:r>
      <w:r>
        <w:t xml:space="preserve"> Set quia iam memoratus Gisilari affa</w:t>
      </w:r>
      <w:r w:rsidR="00B87BB1">
        <w:t>[</w:t>
      </w:r>
      <w:r>
        <w:t>tus</w:t>
      </w:r>
      <w:r w:rsidR="00B87BB1">
        <w:t>]</w:t>
      </w:r>
      <w:r>
        <w:t xml:space="preserve"> est: “Nullum obstaculum nobis iste moniminas non</w:t>
      </w:r>
      <w:r w:rsidR="00FE4072">
        <w:t xml:space="preserve"> faciunt, quia ego iam consignav</w:t>
      </w:r>
      <w:r>
        <w:t>i quo</w:t>
      </w:r>
      <w:r w:rsidR="002A4554">
        <w:t>modo exinde pars domni regis inv</w:t>
      </w:r>
      <w:r>
        <w:t xml:space="preserve">estita fuit, </w:t>
      </w:r>
      <w:r w:rsidR="00B151AD">
        <w:t>et pro ipsa consignatione et rev</w:t>
      </w:r>
      <w:r>
        <w:t>estitura eas ecclesiam et cas</w:t>
      </w:r>
      <w:r w:rsidR="00007F40">
        <w:t>as et res a parte domni regis av</w:t>
      </w:r>
      <w:r w:rsidR="00AE2361">
        <w:t>ere v</w:t>
      </w:r>
      <w:r>
        <w:t>olemus”. Pro ideo nos iudicibus dic[tis], Guillerad episcopus, Damiano sc</w:t>
      </w:r>
      <w:r w:rsidR="00E9455F">
        <w:t>abino, interrogav</w:t>
      </w:r>
      <w:r>
        <w:t>imus prenominato Gisilari si potuisset aut per scripti aut per testibus facere talem consignationem,</w:t>
      </w:r>
      <w:r w:rsidR="00B67ECE">
        <w:t xml:space="preserve"> quomodo suprascripta ecclesia v</w:t>
      </w:r>
      <w:r>
        <w:t>el casas aut res ipsa ipse quondam Ratpert</w:t>
      </w:r>
      <w:r w:rsidR="005B41FA">
        <w:t xml:space="preserve"> a parte domni regis dedisset</w:t>
      </w:r>
      <w:r>
        <w:t xml:space="preserve"> per quem eas par</w:t>
      </w:r>
      <w:r w:rsidR="003B1616">
        <w:t>[</w:t>
      </w:r>
      <w:r>
        <w:t>s</w:t>
      </w:r>
      <w:r w:rsidR="003B1616">
        <w:t>]</w:t>
      </w:r>
      <w:r>
        <w:t xml:space="preserve"> domni regis le</w:t>
      </w:r>
      <w:r w:rsidR="002710DE">
        <w:t>gibus av</w:t>
      </w:r>
      <w:r>
        <w:t xml:space="preserve">ere debeat. Tunc ipse Gisilari manifestus est dicens quod nec per scripto nec per testibus nec per nullo modo alia consignatione </w:t>
      </w:r>
      <w:r w:rsidRPr="00261217">
        <w:t>facere</w:t>
      </w:r>
      <w:r>
        <w:t xml:space="preserve"> n</w:t>
      </w:r>
      <w:r w:rsidR="00531C0F">
        <w:t>on potuisset, quomodo ecclesia v</w:t>
      </w:r>
      <w:r>
        <w:t>el casas aut res ipsas a parte domni regis debent pertinere, nisi dixit quod per supras</w:t>
      </w:r>
      <w:r w:rsidR="00531C0F">
        <w:t>cripta consignatione de ipsa rev</w:t>
      </w:r>
      <w:r>
        <w:t>estitura</w:t>
      </w:r>
      <w:r w:rsidR="00A267C0">
        <w:t xml:space="preserve"> eas ecclesias et casas et res v</w:t>
      </w:r>
      <w:r w:rsidR="006006B9">
        <w:t>oluisset habere. Item interrogav</w:t>
      </w:r>
      <w:r>
        <w:t>imus ipso Gisilari, si potuisset aut per scripti aut per testibus tale consignatione facere, quomodo suprascripto</w:t>
      </w:r>
      <w:r w:rsidR="002E55CC">
        <w:t xml:space="preserve"> Ratperto non fuisset potestativ</w:t>
      </w:r>
      <w:r>
        <w:t>us in monasterio sancti Bartholomei de re sua ullo modo facere. Set ipse nobis statim dixit, quod tale consignatione nullatenus facere non potuisset. Propterea nobis suprascripti Guillerad episcopus, Damianus scabino op</w:t>
      </w:r>
      <w:r w:rsidR="008615A7">
        <w:t>timo comparuit lex, ideo iudicav</w:t>
      </w:r>
      <w:r>
        <w:t>imus, ut suprascripta ecclesia et casas et res, unde ipsas intentiones inter sibi habuerunt, debeat habere Ildipertus abbas et suos successores a parte ipsius felicissimi monasterii sancti Bartholomei secundum suprascriptas moniminas, nam pars curtis domni regis exinde permaneat quieta, contempta atque remota, et sic ex ipsa portione Austrualde unde suprascripto Gisilari, qui fuit procur</w:t>
      </w:r>
      <w:r w:rsidR="00E90E0A">
        <w:t>ator monasterii sancti Bartholomei, in iudicio soluta est. U</w:t>
      </w:r>
      <w:r>
        <w:t xml:space="preserve">nde qualiter in omnium </w:t>
      </w:r>
      <w:r w:rsidR="00C25493">
        <w:t xml:space="preserve">eorum </w:t>
      </w:r>
      <w:r>
        <w:t>p</w:t>
      </w:r>
      <w:r w:rsidR="00724B63">
        <w:t>resentia causa ipsa acta et conv</w:t>
      </w:r>
      <w:r>
        <w:t>enta atque finium accepta est, presens notitia iudicati seu delibe</w:t>
      </w:r>
      <w:r w:rsidR="0009048E">
        <w:t>rationis Gauspert notarium scriv</w:t>
      </w:r>
      <w:r w:rsidR="00FB399D">
        <w:t>ere admonuimus, u</w:t>
      </w:r>
      <w:r>
        <w:t>t in posterum exinde nulla oriatur intentio, set omni tempore in eadem deliberatione debeat permanere. Actum Pistoria, regnum et indictione suprascripta, feliciter. + Ego Guillerad episcopus in hunc iudicato a nos facto manu mea subscripsi.</w:t>
      </w:r>
    </w:p>
    <w:p w14:paraId="2B0D1DAB" w14:textId="77777777" w:rsidR="00DB4F3F" w:rsidRDefault="00DB4F3F" w:rsidP="00DB4F3F">
      <w:pPr>
        <w:jc w:val="both"/>
        <w:rPr>
          <w:rFonts w:ascii="Times New Roman" w:hAnsi="Times New Roman"/>
        </w:rPr>
      </w:pPr>
      <w:r>
        <w:rPr>
          <w:rFonts w:ascii="Times New Roman" w:hAnsi="Times New Roman"/>
        </w:rPr>
        <w:t>+ Ego Damiano in hunc iudicio dedi una cum Guillerad sanctissimo episcopo et manu mea propria subscripsi.</w:t>
      </w:r>
    </w:p>
    <w:p w14:paraId="3138062F" w14:textId="77777777" w:rsidR="00DB4F3F" w:rsidRDefault="00DB4F3F" w:rsidP="00DB4F3F">
      <w:pPr>
        <w:jc w:val="both"/>
        <w:rPr>
          <w:rFonts w:ascii="Times New Roman" w:hAnsi="Times New Roman"/>
        </w:rPr>
      </w:pPr>
    </w:p>
    <w:p w14:paraId="4D52037A" w14:textId="1C386E42" w:rsidR="00DB4F3F" w:rsidRDefault="00DB4F3F" w:rsidP="00DB4F3F">
      <w:pPr>
        <w:jc w:val="both"/>
        <w:rPr>
          <w:rFonts w:ascii="Times New Roman" w:hAnsi="Times New Roman"/>
        </w:rPr>
      </w:pPr>
      <w:r>
        <w:rPr>
          <w:rFonts w:ascii="Times New Roman" w:hAnsi="Times New Roman"/>
        </w:rPr>
        <w:t>+ Ego Gualbertus notarius et iudex sacri palatii scr</w:t>
      </w:r>
      <w:r w:rsidR="00FF6CD0">
        <w:rPr>
          <w:rFonts w:ascii="Times New Roman" w:hAnsi="Times New Roman"/>
        </w:rPr>
        <w:t>iptor qualiter in autenticum inv</w:t>
      </w:r>
      <w:r>
        <w:rPr>
          <w:rFonts w:ascii="Times New Roman" w:hAnsi="Times New Roman"/>
        </w:rPr>
        <w:t>eni fid</w:t>
      </w:r>
      <w:r w:rsidR="00CD5E52">
        <w:rPr>
          <w:rFonts w:ascii="Times New Roman" w:hAnsi="Times New Roman"/>
        </w:rPr>
        <w:t>eliter exemplav</w:t>
      </w:r>
      <w:r>
        <w:rPr>
          <w:rFonts w:ascii="Times New Roman" w:hAnsi="Times New Roman"/>
        </w:rPr>
        <w:t>i.</w:t>
      </w:r>
    </w:p>
    <w:p w14:paraId="1528F320" w14:textId="77777777" w:rsidR="00B67475" w:rsidRDefault="00B67475"/>
    <w:sectPr w:rsidR="00B67475">
      <w:endnotePr>
        <w:numFmt w:val="decimal"/>
      </w:endnotePr>
      <w:pgSz w:w="11906" w:h="16838"/>
      <w:pgMar w:top="1417" w:right="1701" w:bottom="1417" w:left="1701"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E4CA72" w14:textId="77777777" w:rsidR="00261217" w:rsidRDefault="00261217" w:rsidP="00DB4F3F">
      <w:r>
        <w:separator/>
      </w:r>
    </w:p>
  </w:endnote>
  <w:endnote w:type="continuationSeparator" w:id="0">
    <w:p w14:paraId="691BF6FF" w14:textId="77777777" w:rsidR="00261217" w:rsidRDefault="00261217" w:rsidP="00DB4F3F">
      <w:r>
        <w:continuationSeparator/>
      </w:r>
    </w:p>
  </w:endnote>
  <w:endnote w:id="1">
    <w:p w14:paraId="41546F01" w14:textId="77777777" w:rsidR="00AC7219" w:rsidRPr="00384487" w:rsidRDefault="00AC7219" w:rsidP="00AC7219">
      <w:pPr>
        <w:pStyle w:val="Textonotaalfinal"/>
        <w:rPr>
          <w:lang w:val="es-ES_tradnl"/>
        </w:rPr>
      </w:pPr>
      <w:r>
        <w:rPr>
          <w:rStyle w:val="Refdenotaalfinal"/>
        </w:rPr>
        <w:endnoteRef/>
      </w:r>
      <w:r>
        <w:t xml:space="preserve"> </w:t>
      </w:r>
      <w:r>
        <w:rPr>
          <w:lang w:val="es-ES_tradnl"/>
        </w:rPr>
        <w:t>Su questo placito si veda Civale 2008, pp. 11-42.</w:t>
      </w:r>
    </w:p>
  </w:endnote>
  <w:endnote w:id="2">
    <w:p w14:paraId="06E1C61D" w14:textId="16E5DB69" w:rsidR="00092B82" w:rsidRPr="005F7E7F" w:rsidRDefault="00092B82" w:rsidP="005F7E7F">
      <w:pPr>
        <w:pStyle w:val="Textonotaalfinal"/>
        <w:rPr>
          <w:lang w:val="es-ES_tradnl"/>
        </w:rPr>
      </w:pPr>
      <w:r w:rsidRPr="005F7E7F">
        <w:rPr>
          <w:rStyle w:val="Refdenotaalfinal"/>
        </w:rPr>
        <w:t>*</w:t>
      </w:r>
      <w:r w:rsidRPr="005F7E7F">
        <w:t xml:space="preserve"> </w:t>
      </w:r>
      <w:r w:rsidR="005F7E7F" w:rsidRPr="005F7E7F">
        <w:rPr>
          <w:lang w:val="es-ES_tradnl"/>
        </w:rPr>
        <w:t xml:space="preserve">La trascrizione è stata condotta sulla riproduzione </w:t>
      </w:r>
      <w:r w:rsidR="005F7E7F">
        <w:rPr>
          <w:lang w:val="es-ES_tradnl"/>
        </w:rPr>
        <w:t xml:space="preserve">fotografica di B </w:t>
      </w:r>
      <w:r w:rsidR="002B7E7B">
        <w:rPr>
          <w:lang w:val="es-ES_tradnl"/>
        </w:rPr>
        <w:t xml:space="preserve">disponibile online sul sito web dell’Archivio di Stato di Firenze </w:t>
      </w:r>
      <w:r w:rsidR="005F7E7F">
        <w:rPr>
          <w:lang w:val="es-ES_tradnl"/>
        </w:rPr>
        <w:t>[</w:t>
      </w:r>
      <w:hyperlink r:id="rId1" w:history="1">
        <w:r w:rsidR="005F7E7F" w:rsidRPr="005F7E7F">
          <w:rPr>
            <w:rStyle w:val="Hipervnculo"/>
            <w:lang w:val="es-ES_tradnl"/>
          </w:rPr>
          <w:t>qui</w:t>
        </w:r>
      </w:hyperlink>
      <w:r w:rsidR="005F7E7F">
        <w:rPr>
          <w:lang w:val="es-ES_tradnl"/>
        </w:rPr>
        <w:t>]</w:t>
      </w:r>
      <w:r w:rsidR="008D352C">
        <w:rPr>
          <w:lang w:val="es-ES_tradnl"/>
        </w:rPr>
        <w:t>.</w:t>
      </w:r>
    </w:p>
  </w:endnote>
  <w:endnote w:id="3">
    <w:p w14:paraId="5B90DA64" w14:textId="77777777" w:rsidR="00261217" w:rsidRDefault="00261217" w:rsidP="005F7E7F">
      <w:pPr>
        <w:pStyle w:val="Textonotaalfinal"/>
      </w:pPr>
      <w:r>
        <w:rPr>
          <w:rStyle w:val="Refdenotaalfinal"/>
        </w:rPr>
        <w:t>a</w:t>
      </w:r>
      <w:r>
        <w:t xml:space="preserve"> In Manaresi “gubernans”.</w:t>
      </w:r>
    </w:p>
  </w:endnote>
  <w:endnote w:id="4">
    <w:p w14:paraId="1707D9C9" w14:textId="42D637E7" w:rsidR="00261217" w:rsidRPr="001F173F" w:rsidRDefault="00261217" w:rsidP="005F7E7F">
      <w:pPr>
        <w:pStyle w:val="Textonotaalfinal"/>
        <w:rPr>
          <w:lang w:val="es-ES_tradnl"/>
        </w:rPr>
      </w:pPr>
      <w:r>
        <w:rPr>
          <w:rStyle w:val="Refdenotaalfinal"/>
        </w:rPr>
        <w:t>b</w:t>
      </w:r>
      <w:r>
        <w:t xml:space="preserve"> </w:t>
      </w:r>
      <w:r>
        <w:rPr>
          <w:lang w:val="es-ES_tradnl"/>
        </w:rPr>
        <w:t>In Manaresi “vigisimosexto”.</w:t>
      </w:r>
    </w:p>
  </w:endnote>
  <w:endnote w:id="5">
    <w:p w14:paraId="5808A798" w14:textId="7FCCE1CB" w:rsidR="00B304F3" w:rsidRPr="00B304F3" w:rsidRDefault="00B304F3">
      <w:pPr>
        <w:pStyle w:val="Textonotaalfinal"/>
        <w:rPr>
          <w:lang w:val="es-ES_tradnl"/>
        </w:rPr>
      </w:pPr>
      <w:r>
        <w:rPr>
          <w:rStyle w:val="Refdenotaalfinal"/>
        </w:rPr>
        <w:endnoteRef/>
      </w:r>
      <w:r>
        <w:t xml:space="preserve"> </w:t>
      </w:r>
      <w:r>
        <w:rPr>
          <w:lang w:val="es-ES_tradnl"/>
        </w:rPr>
        <w:t xml:space="preserve">Rauty 2001, </w:t>
      </w:r>
      <w:r w:rsidR="00CB5538">
        <w:rPr>
          <w:lang w:val="es-ES_tradnl"/>
        </w:rPr>
        <w:t>pp. 41-42.</w:t>
      </w:r>
    </w:p>
  </w:endnote>
  <w:endnote w:id="6">
    <w:p w14:paraId="511176E0" w14:textId="2D9CEE72" w:rsidR="00F124F5" w:rsidRPr="00F124F5" w:rsidRDefault="00F124F5">
      <w:pPr>
        <w:pStyle w:val="Textonotaalfinal"/>
        <w:rPr>
          <w:lang w:val="es-ES_tradnl"/>
        </w:rPr>
      </w:pPr>
      <w:r>
        <w:rPr>
          <w:rStyle w:val="Refdenotaalfinal"/>
        </w:rPr>
        <w:endnoteRef/>
      </w:r>
      <w:r>
        <w:t xml:space="preserve"> </w:t>
      </w:r>
      <w:r>
        <w:rPr>
          <w:lang w:val="es-ES_tradnl"/>
        </w:rPr>
        <w:t>Bougard 1995, p. 362.</w:t>
      </w:r>
    </w:p>
  </w:endnote>
  <w:endnote w:id="7">
    <w:p w14:paraId="4D1F956C" w14:textId="049AD23D" w:rsidR="00B84945" w:rsidRPr="00B84945" w:rsidRDefault="00B84945">
      <w:pPr>
        <w:pStyle w:val="Textonotaalfinal"/>
        <w:rPr>
          <w:lang w:val="es-ES_tradnl"/>
        </w:rPr>
      </w:pPr>
      <w:r>
        <w:rPr>
          <w:rStyle w:val="Refdenotaalfinal"/>
        </w:rPr>
        <w:endnoteRef/>
      </w:r>
      <w:r>
        <w:t xml:space="preserve"> </w:t>
      </w:r>
      <w:r>
        <w:rPr>
          <w:lang w:val="es-ES_tradnl"/>
        </w:rPr>
        <w:t>Davis 2015, pp. 67-68.</w:t>
      </w:r>
    </w:p>
  </w:endnote>
  <w:endnote w:id="8">
    <w:p w14:paraId="5347DE28" w14:textId="775B9376" w:rsidR="00261217" w:rsidRDefault="00261217" w:rsidP="005F7E7F">
      <w:pPr>
        <w:pStyle w:val="Textonotaalfinal"/>
      </w:pPr>
      <w:r>
        <w:rPr>
          <w:rStyle w:val="Refdenotaalfinal"/>
        </w:rPr>
        <w:t>c</w:t>
      </w:r>
      <w:r w:rsidR="00CC5DBB">
        <w:t xml:space="preserve"> In Manaresi normalizzato in</w:t>
      </w:r>
      <w:bookmarkStart w:id="0" w:name="_GoBack"/>
      <w:bookmarkEnd w:id="0"/>
      <w:r>
        <w:t xml:space="preserve"> “Averolfus”.</w:t>
      </w:r>
    </w:p>
  </w:endnote>
  <w:endnote w:id="9">
    <w:p w14:paraId="54364B74" w14:textId="1F7A5D0A" w:rsidR="00261217" w:rsidRPr="00C1578C" w:rsidRDefault="00261217" w:rsidP="005F7E7F">
      <w:pPr>
        <w:pStyle w:val="Textonotaalfinal"/>
        <w:rPr>
          <w:lang w:val="es-ES_tradnl"/>
        </w:rPr>
      </w:pPr>
      <w:r>
        <w:rPr>
          <w:rStyle w:val="Refdenotaalfinal"/>
        </w:rPr>
        <w:t>d</w:t>
      </w:r>
      <w:r>
        <w:t xml:space="preserve"> </w:t>
      </w:r>
      <w:r>
        <w:rPr>
          <w:lang w:val="es-ES_tradnl"/>
        </w:rPr>
        <w:t>In Manaresi “Gegrorii”.</w:t>
      </w:r>
    </w:p>
  </w:endnote>
  <w:endnote w:id="10">
    <w:p w14:paraId="7F872698" w14:textId="09B298D7" w:rsidR="00B80312" w:rsidRPr="00B80312" w:rsidRDefault="00B80312">
      <w:pPr>
        <w:pStyle w:val="Textonotaalfinal"/>
        <w:rPr>
          <w:lang w:val="es-ES_tradnl"/>
        </w:rPr>
      </w:pPr>
      <w:r>
        <w:rPr>
          <w:rStyle w:val="Refdenotaalfinal"/>
        </w:rPr>
        <w:endnoteRef/>
      </w:r>
      <w:r>
        <w:t xml:space="preserve"> </w:t>
      </w:r>
      <w:r>
        <w:rPr>
          <w:lang w:val="es-ES_tradnl"/>
        </w:rPr>
        <w:t xml:space="preserve">Bougard 1995, p. </w:t>
      </w:r>
      <w:r w:rsidR="00123132">
        <w:rPr>
          <w:lang w:val="es-ES_tradnl"/>
        </w:rPr>
        <w:t>362.</w:t>
      </w:r>
    </w:p>
  </w:endnote>
  <w:endnote w:id="11">
    <w:p w14:paraId="6ABA8BC0" w14:textId="5F1B94A9" w:rsidR="00261217" w:rsidRPr="007B7E94" w:rsidRDefault="00261217" w:rsidP="005F7E7F">
      <w:pPr>
        <w:pStyle w:val="Textonotaalfinal"/>
        <w:rPr>
          <w:lang w:val="es-ES_tradnl"/>
        </w:rPr>
      </w:pPr>
      <w:r>
        <w:rPr>
          <w:rStyle w:val="Refdenotaalfinal"/>
        </w:rPr>
        <w:t>e</w:t>
      </w:r>
      <w:r>
        <w:t xml:space="preserve"> </w:t>
      </w:r>
      <w:r>
        <w:rPr>
          <w:lang w:val="es-ES_tradnl"/>
        </w:rPr>
        <w:t>In Manaresi “debent”.</w:t>
      </w:r>
    </w:p>
  </w:endnote>
  <w:endnote w:id="12">
    <w:p w14:paraId="48AA2A99" w14:textId="78FBB485" w:rsidR="00261217" w:rsidRDefault="00261217" w:rsidP="005F7E7F">
      <w:pPr>
        <w:pStyle w:val="Textonotaalfinal"/>
      </w:pPr>
      <w:r>
        <w:rPr>
          <w:rStyle w:val="Refdenotaalfinal"/>
        </w:rPr>
        <w:t>f</w:t>
      </w:r>
      <w:r>
        <w:t xml:space="preserve"> Si desidera.</w:t>
      </w:r>
    </w:p>
  </w:endnote>
  <w:endnote w:id="13">
    <w:p w14:paraId="23F95B73" w14:textId="2958F65E" w:rsidR="00261217" w:rsidRPr="009215F6" w:rsidRDefault="00261217" w:rsidP="005F7E7F">
      <w:pPr>
        <w:pStyle w:val="Textonotaalfinal"/>
        <w:rPr>
          <w:lang w:val="es-ES_tradnl"/>
        </w:rPr>
      </w:pPr>
      <w:r>
        <w:rPr>
          <w:rStyle w:val="Refdenotaalfinal"/>
        </w:rPr>
        <w:t>g</w:t>
      </w:r>
      <w:r>
        <w:t xml:space="preserve"> </w:t>
      </w:r>
      <w:r>
        <w:rPr>
          <w:lang w:val="es-ES_tradnl"/>
        </w:rPr>
        <w:t>In Manaresi “notarius”.</w:t>
      </w:r>
    </w:p>
  </w:endnote>
  <w:endnote w:id="14">
    <w:p w14:paraId="3BB25650" w14:textId="3DCC066E" w:rsidR="00261217" w:rsidRPr="00D85C5C" w:rsidRDefault="00261217" w:rsidP="005F7E7F">
      <w:pPr>
        <w:pStyle w:val="Textonotaalfinal"/>
        <w:rPr>
          <w:lang w:val="es-ES_tradnl"/>
        </w:rPr>
      </w:pPr>
      <w:r>
        <w:rPr>
          <w:rStyle w:val="Refdenotaalfinal"/>
        </w:rPr>
        <w:t>h</w:t>
      </w:r>
      <w:r>
        <w:t xml:space="preserve"> </w:t>
      </w:r>
      <w:r>
        <w:rPr>
          <w:lang w:val="es-ES_tradnl"/>
        </w:rPr>
        <w:t>In Manaresi “contenentem”.</w:t>
      </w:r>
    </w:p>
  </w:endnote>
  <w:endnote w:id="15">
    <w:p w14:paraId="3E606510" w14:textId="323F2BA1" w:rsidR="001176B1" w:rsidRPr="00E3135E" w:rsidRDefault="001176B1">
      <w:pPr>
        <w:pStyle w:val="Textonotaalfinal"/>
        <w:rPr>
          <w:lang w:val="es-ES_tradnl"/>
        </w:rPr>
      </w:pPr>
      <w:r>
        <w:rPr>
          <w:rStyle w:val="Refdenotaalfinal"/>
        </w:rPr>
        <w:t>i</w:t>
      </w:r>
      <w:r>
        <w:t xml:space="preserve"> </w:t>
      </w:r>
      <w:r>
        <w:rPr>
          <w:lang w:val="es-ES_tradnl"/>
        </w:rPr>
        <w:t xml:space="preserve">Sul mundio </w:t>
      </w:r>
      <w:r>
        <w:rPr>
          <w:i/>
          <w:lang w:val="es-ES_tradnl"/>
        </w:rPr>
        <w:t>Leges Langobardorum</w:t>
      </w:r>
      <w:r>
        <w:rPr>
          <w:lang w:val="es-ES_tradnl"/>
        </w:rPr>
        <w:t>, Azzara - Gasparri 2005.</w:t>
      </w:r>
    </w:p>
  </w:endnote>
  <w:endnote w:id="16">
    <w:p w14:paraId="03529B80" w14:textId="73E2BF13" w:rsidR="00517AFB" w:rsidRDefault="00517AFB" w:rsidP="005F7E7F">
      <w:pPr>
        <w:pStyle w:val="Textonotaalfinal"/>
      </w:pPr>
      <w:r>
        <w:rPr>
          <w:rStyle w:val="Refdenotaalfinal"/>
        </w:rPr>
        <w:t>j</w:t>
      </w:r>
      <w:r>
        <w:t xml:space="preserve"> Si desidera.</w:t>
      </w:r>
    </w:p>
  </w:endnote>
  <w:endnote w:id="17">
    <w:p w14:paraId="301D2A93" w14:textId="59EB0B60" w:rsidR="00517AFB" w:rsidRPr="00584A1D" w:rsidRDefault="00517AFB" w:rsidP="005F7E7F">
      <w:pPr>
        <w:pStyle w:val="Textonotaalfinal"/>
        <w:rPr>
          <w:lang w:val="es-ES_tradnl"/>
        </w:rPr>
      </w:pPr>
      <w:r>
        <w:rPr>
          <w:rStyle w:val="Refdenotaalfinal"/>
        </w:rPr>
        <w:t>k</w:t>
      </w:r>
      <w:r>
        <w:t xml:space="preserve"> In Manaresi “tollendum”.</w:t>
      </w:r>
    </w:p>
  </w:endnote>
  <w:endnote w:id="18">
    <w:p w14:paraId="14FB7C12" w14:textId="53380F46" w:rsidR="00832F67" w:rsidRPr="00367781" w:rsidRDefault="00832F67" w:rsidP="005F7E7F">
      <w:pPr>
        <w:pStyle w:val="Textonotaalfinal"/>
        <w:rPr>
          <w:lang w:val="es-ES_tradnl"/>
        </w:rPr>
      </w:pPr>
      <w:r>
        <w:rPr>
          <w:rStyle w:val="Refdenotaalfinal"/>
        </w:rPr>
        <w:t>l</w:t>
      </w:r>
      <w:r>
        <w:t xml:space="preserve"> In Manaresi “Barberinis”.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03E066" w14:textId="77777777" w:rsidR="00261217" w:rsidRDefault="00261217" w:rsidP="00DB4F3F">
      <w:r>
        <w:separator/>
      </w:r>
    </w:p>
  </w:footnote>
  <w:footnote w:type="continuationSeparator" w:id="0">
    <w:p w14:paraId="3AFD78E9" w14:textId="77777777" w:rsidR="00261217" w:rsidRDefault="00261217" w:rsidP="00DB4F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08"/>
  <w:hyphenationZone w:val="425"/>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4F3F"/>
    <w:rsid w:val="00007F40"/>
    <w:rsid w:val="00042346"/>
    <w:rsid w:val="00084859"/>
    <w:rsid w:val="0009048E"/>
    <w:rsid w:val="00092B82"/>
    <w:rsid w:val="000B050A"/>
    <w:rsid w:val="000E3567"/>
    <w:rsid w:val="000F125E"/>
    <w:rsid w:val="001148E1"/>
    <w:rsid w:val="001176B1"/>
    <w:rsid w:val="00123132"/>
    <w:rsid w:val="001241F4"/>
    <w:rsid w:val="00146D93"/>
    <w:rsid w:val="0015668D"/>
    <w:rsid w:val="0019145F"/>
    <w:rsid w:val="001A2A7B"/>
    <w:rsid w:val="001B770C"/>
    <w:rsid w:val="001F173F"/>
    <w:rsid w:val="0020411C"/>
    <w:rsid w:val="00221025"/>
    <w:rsid w:val="002406BC"/>
    <w:rsid w:val="00250F15"/>
    <w:rsid w:val="00261217"/>
    <w:rsid w:val="002614B9"/>
    <w:rsid w:val="002710DE"/>
    <w:rsid w:val="00282552"/>
    <w:rsid w:val="002855E9"/>
    <w:rsid w:val="00296985"/>
    <w:rsid w:val="002A4554"/>
    <w:rsid w:val="002B3FE8"/>
    <w:rsid w:val="002B7917"/>
    <w:rsid w:val="002B7E7B"/>
    <w:rsid w:val="002C1846"/>
    <w:rsid w:val="002C6C55"/>
    <w:rsid w:val="002E4605"/>
    <w:rsid w:val="002E55CC"/>
    <w:rsid w:val="00300E28"/>
    <w:rsid w:val="003104D1"/>
    <w:rsid w:val="0032360C"/>
    <w:rsid w:val="00337DB3"/>
    <w:rsid w:val="00357A9E"/>
    <w:rsid w:val="0036411E"/>
    <w:rsid w:val="00367781"/>
    <w:rsid w:val="00375713"/>
    <w:rsid w:val="00384487"/>
    <w:rsid w:val="00394540"/>
    <w:rsid w:val="003B1616"/>
    <w:rsid w:val="003C396D"/>
    <w:rsid w:val="003E44B3"/>
    <w:rsid w:val="003E4ED6"/>
    <w:rsid w:val="00406311"/>
    <w:rsid w:val="00414172"/>
    <w:rsid w:val="004163B6"/>
    <w:rsid w:val="004371A2"/>
    <w:rsid w:val="00483C53"/>
    <w:rsid w:val="00484486"/>
    <w:rsid w:val="00490BF7"/>
    <w:rsid w:val="004B5D4C"/>
    <w:rsid w:val="004C3216"/>
    <w:rsid w:val="004C4E81"/>
    <w:rsid w:val="004E79D8"/>
    <w:rsid w:val="00512ECD"/>
    <w:rsid w:val="00517AFB"/>
    <w:rsid w:val="00531C0F"/>
    <w:rsid w:val="00536969"/>
    <w:rsid w:val="0054280F"/>
    <w:rsid w:val="00555AF1"/>
    <w:rsid w:val="00556929"/>
    <w:rsid w:val="005806E3"/>
    <w:rsid w:val="00584A1D"/>
    <w:rsid w:val="005A355A"/>
    <w:rsid w:val="005B41FA"/>
    <w:rsid w:val="005B54FE"/>
    <w:rsid w:val="005F7E7F"/>
    <w:rsid w:val="006006B9"/>
    <w:rsid w:val="006015E2"/>
    <w:rsid w:val="00612088"/>
    <w:rsid w:val="00614D89"/>
    <w:rsid w:val="00621650"/>
    <w:rsid w:val="00623517"/>
    <w:rsid w:val="0063707D"/>
    <w:rsid w:val="00643BD2"/>
    <w:rsid w:val="00657BE8"/>
    <w:rsid w:val="006A57C8"/>
    <w:rsid w:val="006C1827"/>
    <w:rsid w:val="006D02E0"/>
    <w:rsid w:val="006D437A"/>
    <w:rsid w:val="006E2EF9"/>
    <w:rsid w:val="006F7555"/>
    <w:rsid w:val="007141CB"/>
    <w:rsid w:val="00724B63"/>
    <w:rsid w:val="00727221"/>
    <w:rsid w:val="007357C2"/>
    <w:rsid w:val="00737FB1"/>
    <w:rsid w:val="00745783"/>
    <w:rsid w:val="00747096"/>
    <w:rsid w:val="0077252D"/>
    <w:rsid w:val="00792620"/>
    <w:rsid w:val="00792D52"/>
    <w:rsid w:val="0079435C"/>
    <w:rsid w:val="007A693A"/>
    <w:rsid w:val="007B7E94"/>
    <w:rsid w:val="007E1361"/>
    <w:rsid w:val="007E3F50"/>
    <w:rsid w:val="007F72BC"/>
    <w:rsid w:val="00800175"/>
    <w:rsid w:val="008024A6"/>
    <w:rsid w:val="00810D0B"/>
    <w:rsid w:val="00814DE8"/>
    <w:rsid w:val="00832F67"/>
    <w:rsid w:val="0083411E"/>
    <w:rsid w:val="00843BE1"/>
    <w:rsid w:val="008615A7"/>
    <w:rsid w:val="008846FE"/>
    <w:rsid w:val="00890375"/>
    <w:rsid w:val="008C355B"/>
    <w:rsid w:val="008C47A0"/>
    <w:rsid w:val="008D1185"/>
    <w:rsid w:val="008D352C"/>
    <w:rsid w:val="008E74B5"/>
    <w:rsid w:val="00910992"/>
    <w:rsid w:val="009215F6"/>
    <w:rsid w:val="00921A16"/>
    <w:rsid w:val="00922D41"/>
    <w:rsid w:val="00934249"/>
    <w:rsid w:val="00935761"/>
    <w:rsid w:val="0095317F"/>
    <w:rsid w:val="00962946"/>
    <w:rsid w:val="009B06C3"/>
    <w:rsid w:val="009B671B"/>
    <w:rsid w:val="009C3FE2"/>
    <w:rsid w:val="00A06FC6"/>
    <w:rsid w:val="00A23E40"/>
    <w:rsid w:val="00A267C0"/>
    <w:rsid w:val="00A26B9F"/>
    <w:rsid w:val="00A30F8C"/>
    <w:rsid w:val="00A36BFD"/>
    <w:rsid w:val="00A438BE"/>
    <w:rsid w:val="00A52DE9"/>
    <w:rsid w:val="00A54571"/>
    <w:rsid w:val="00A553D3"/>
    <w:rsid w:val="00A6755D"/>
    <w:rsid w:val="00A909E8"/>
    <w:rsid w:val="00A95A7D"/>
    <w:rsid w:val="00AC313E"/>
    <w:rsid w:val="00AC7219"/>
    <w:rsid w:val="00AE2361"/>
    <w:rsid w:val="00AF5372"/>
    <w:rsid w:val="00B151AD"/>
    <w:rsid w:val="00B304F3"/>
    <w:rsid w:val="00B416AC"/>
    <w:rsid w:val="00B537F0"/>
    <w:rsid w:val="00B5747F"/>
    <w:rsid w:val="00B67475"/>
    <w:rsid w:val="00B67ECE"/>
    <w:rsid w:val="00B76974"/>
    <w:rsid w:val="00B80312"/>
    <w:rsid w:val="00B835DB"/>
    <w:rsid w:val="00B84945"/>
    <w:rsid w:val="00B87BB1"/>
    <w:rsid w:val="00BD21CA"/>
    <w:rsid w:val="00BE11DB"/>
    <w:rsid w:val="00BE2AB7"/>
    <w:rsid w:val="00BF0486"/>
    <w:rsid w:val="00C1578C"/>
    <w:rsid w:val="00C25493"/>
    <w:rsid w:val="00C31418"/>
    <w:rsid w:val="00C33580"/>
    <w:rsid w:val="00C42B39"/>
    <w:rsid w:val="00CB5538"/>
    <w:rsid w:val="00CB6483"/>
    <w:rsid w:val="00CC38DA"/>
    <w:rsid w:val="00CC5DBB"/>
    <w:rsid w:val="00CD0803"/>
    <w:rsid w:val="00CD57F1"/>
    <w:rsid w:val="00CD5E52"/>
    <w:rsid w:val="00CD645C"/>
    <w:rsid w:val="00CF2C2A"/>
    <w:rsid w:val="00D00BFC"/>
    <w:rsid w:val="00D205F2"/>
    <w:rsid w:val="00D46826"/>
    <w:rsid w:val="00D7694A"/>
    <w:rsid w:val="00D85C5C"/>
    <w:rsid w:val="00DA10CE"/>
    <w:rsid w:val="00DB4F3F"/>
    <w:rsid w:val="00DE23AD"/>
    <w:rsid w:val="00DE4884"/>
    <w:rsid w:val="00E027CA"/>
    <w:rsid w:val="00E12C18"/>
    <w:rsid w:val="00E3135E"/>
    <w:rsid w:val="00E66FC6"/>
    <w:rsid w:val="00E70D2A"/>
    <w:rsid w:val="00E866E1"/>
    <w:rsid w:val="00E873A5"/>
    <w:rsid w:val="00E90E0A"/>
    <w:rsid w:val="00E9455F"/>
    <w:rsid w:val="00EE105C"/>
    <w:rsid w:val="00EE1E48"/>
    <w:rsid w:val="00EF69CC"/>
    <w:rsid w:val="00F06AFB"/>
    <w:rsid w:val="00F124F5"/>
    <w:rsid w:val="00F21F0D"/>
    <w:rsid w:val="00F260CF"/>
    <w:rsid w:val="00F3612A"/>
    <w:rsid w:val="00F41E00"/>
    <w:rsid w:val="00F546E8"/>
    <w:rsid w:val="00F760AE"/>
    <w:rsid w:val="00FA705C"/>
    <w:rsid w:val="00FB399D"/>
    <w:rsid w:val="00FD04D9"/>
    <w:rsid w:val="00FD1196"/>
    <w:rsid w:val="00FD13A7"/>
    <w:rsid w:val="00FD701E"/>
    <w:rsid w:val="00FE099E"/>
    <w:rsid w:val="00FE4072"/>
    <w:rsid w:val="00FE5217"/>
    <w:rsid w:val="00FF104F"/>
    <w:rsid w:val="00FF284F"/>
    <w:rsid w:val="00FF4C1B"/>
    <w:rsid w:val="00FF6CD0"/>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5F1B41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F3F"/>
    <w:rPr>
      <w:rFonts w:ascii="Times" w:eastAsia="Times" w:hAnsi="Times" w:cs="Times New Roman"/>
      <w:noProo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cuerpo">
    <w:name w:val="Body Text"/>
    <w:basedOn w:val="Normal"/>
    <w:link w:val="TextodecuerpoCar"/>
    <w:rsid w:val="00DB4F3F"/>
    <w:pPr>
      <w:jc w:val="both"/>
    </w:pPr>
    <w:rPr>
      <w:rFonts w:ascii="Times New Roman" w:hAnsi="Times New Roman"/>
    </w:rPr>
  </w:style>
  <w:style w:type="character" w:customStyle="1" w:styleId="TextodecuerpoCar">
    <w:name w:val="Texto de cuerpo Car"/>
    <w:basedOn w:val="Fuentedeprrafopredeter"/>
    <w:link w:val="Textodecuerpo"/>
    <w:rsid w:val="00DB4F3F"/>
    <w:rPr>
      <w:rFonts w:ascii="Times New Roman" w:eastAsia="Times" w:hAnsi="Times New Roman" w:cs="Times New Roman"/>
      <w:noProof/>
      <w:szCs w:val="20"/>
    </w:rPr>
  </w:style>
  <w:style w:type="paragraph" w:styleId="Textonotaalfinal">
    <w:name w:val="endnote text"/>
    <w:basedOn w:val="Normal"/>
    <w:link w:val="TextonotaalfinalCar"/>
    <w:autoRedefine/>
    <w:rsid w:val="005F7E7F"/>
    <w:pPr>
      <w:jc w:val="both"/>
    </w:pPr>
    <w:rPr>
      <w:rFonts w:ascii="Times New Roman" w:hAnsi="Times New Roman"/>
      <w:sz w:val="20"/>
    </w:rPr>
  </w:style>
  <w:style w:type="character" w:customStyle="1" w:styleId="TextonotaalfinalCar">
    <w:name w:val="Texto nota al final Car"/>
    <w:basedOn w:val="Fuentedeprrafopredeter"/>
    <w:link w:val="Textonotaalfinal"/>
    <w:rsid w:val="005F7E7F"/>
    <w:rPr>
      <w:rFonts w:ascii="Times New Roman" w:eastAsia="Times" w:hAnsi="Times New Roman" w:cs="Times New Roman"/>
      <w:noProof/>
      <w:sz w:val="20"/>
      <w:szCs w:val="20"/>
    </w:rPr>
  </w:style>
  <w:style w:type="character" w:styleId="Refdenotaalfinal">
    <w:name w:val="endnote reference"/>
    <w:basedOn w:val="Fuentedeprrafopredeter"/>
    <w:rsid w:val="00DB4F3F"/>
    <w:rPr>
      <w:vertAlign w:val="superscript"/>
    </w:rPr>
  </w:style>
  <w:style w:type="character" w:styleId="Hipervnculo">
    <w:name w:val="Hyperlink"/>
    <w:basedOn w:val="Fuentedeprrafopredeter"/>
    <w:uiPriority w:val="99"/>
    <w:unhideWhenUsed/>
    <w:rsid w:val="005F7E7F"/>
    <w:rPr>
      <w:color w:val="0000FF" w:themeColor="hyperlink"/>
      <w:u w:val="single"/>
    </w:rPr>
  </w:style>
  <w:style w:type="character" w:styleId="Hipervnculovisitado">
    <w:name w:val="FollowedHyperlink"/>
    <w:basedOn w:val="Fuentedeprrafopredeter"/>
    <w:uiPriority w:val="99"/>
    <w:semiHidden/>
    <w:unhideWhenUsed/>
    <w:rsid w:val="005F7E7F"/>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F3F"/>
    <w:rPr>
      <w:rFonts w:ascii="Times" w:eastAsia="Times" w:hAnsi="Times" w:cs="Times New Roman"/>
      <w:noProo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cuerpo">
    <w:name w:val="Body Text"/>
    <w:basedOn w:val="Normal"/>
    <w:link w:val="TextodecuerpoCar"/>
    <w:rsid w:val="00DB4F3F"/>
    <w:pPr>
      <w:jc w:val="both"/>
    </w:pPr>
    <w:rPr>
      <w:rFonts w:ascii="Times New Roman" w:hAnsi="Times New Roman"/>
    </w:rPr>
  </w:style>
  <w:style w:type="character" w:customStyle="1" w:styleId="TextodecuerpoCar">
    <w:name w:val="Texto de cuerpo Car"/>
    <w:basedOn w:val="Fuentedeprrafopredeter"/>
    <w:link w:val="Textodecuerpo"/>
    <w:rsid w:val="00DB4F3F"/>
    <w:rPr>
      <w:rFonts w:ascii="Times New Roman" w:eastAsia="Times" w:hAnsi="Times New Roman" w:cs="Times New Roman"/>
      <w:noProof/>
      <w:szCs w:val="20"/>
    </w:rPr>
  </w:style>
  <w:style w:type="paragraph" w:styleId="Textonotaalfinal">
    <w:name w:val="endnote text"/>
    <w:basedOn w:val="Normal"/>
    <w:link w:val="TextonotaalfinalCar"/>
    <w:autoRedefine/>
    <w:rsid w:val="005F7E7F"/>
    <w:pPr>
      <w:jc w:val="both"/>
    </w:pPr>
    <w:rPr>
      <w:rFonts w:ascii="Times New Roman" w:hAnsi="Times New Roman"/>
      <w:sz w:val="20"/>
    </w:rPr>
  </w:style>
  <w:style w:type="character" w:customStyle="1" w:styleId="TextonotaalfinalCar">
    <w:name w:val="Texto nota al final Car"/>
    <w:basedOn w:val="Fuentedeprrafopredeter"/>
    <w:link w:val="Textonotaalfinal"/>
    <w:rsid w:val="005F7E7F"/>
    <w:rPr>
      <w:rFonts w:ascii="Times New Roman" w:eastAsia="Times" w:hAnsi="Times New Roman" w:cs="Times New Roman"/>
      <w:noProof/>
      <w:sz w:val="20"/>
      <w:szCs w:val="20"/>
    </w:rPr>
  </w:style>
  <w:style w:type="character" w:styleId="Refdenotaalfinal">
    <w:name w:val="endnote reference"/>
    <w:basedOn w:val="Fuentedeprrafopredeter"/>
    <w:rsid w:val="00DB4F3F"/>
    <w:rPr>
      <w:vertAlign w:val="superscript"/>
    </w:rPr>
  </w:style>
  <w:style w:type="character" w:styleId="Hipervnculo">
    <w:name w:val="Hyperlink"/>
    <w:basedOn w:val="Fuentedeprrafopredeter"/>
    <w:uiPriority w:val="99"/>
    <w:unhideWhenUsed/>
    <w:rsid w:val="005F7E7F"/>
    <w:rPr>
      <w:color w:val="0000FF" w:themeColor="hyperlink"/>
      <w:u w:val="single"/>
    </w:rPr>
  </w:style>
  <w:style w:type="character" w:styleId="Hipervnculovisitado">
    <w:name w:val="FollowedHyperlink"/>
    <w:basedOn w:val="Fuentedeprrafopredeter"/>
    <w:uiPriority w:val="99"/>
    <w:semiHidden/>
    <w:unhideWhenUsed/>
    <w:rsid w:val="005F7E7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_rels/endnotes.xml.rels><?xml version="1.0" encoding="UTF-8" standalone="yes"?>
<Relationships xmlns="http://schemas.openxmlformats.org/package/2006/relationships"><Relationship Id="rId1" Type="http://schemas.openxmlformats.org/officeDocument/2006/relationships/hyperlink" Target="http://www.archiviodistato.firenze.it/pergasfi/index.php?op=fetch&amp;type=pergamena&amp;id=393676"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39AD7D-43C4-DE48-AD58-992C807A98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4</Pages>
  <Words>1611</Words>
  <Characters>8861</Characters>
  <Application>Microsoft Macintosh Word</Application>
  <DocSecurity>0</DocSecurity>
  <Lines>73</Lines>
  <Paragraphs>20</Paragraphs>
  <ScaleCrop>false</ScaleCrop>
  <Company>casita</Company>
  <LinksUpToDate>false</LinksUpToDate>
  <CharactersWithSpaces>10452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Santos Salazar</dc:creator>
  <cp:keywords/>
  <dc:description/>
  <cp:lastModifiedBy>Igor Santos Salazar</cp:lastModifiedBy>
  <cp:revision>258</cp:revision>
  <dcterms:created xsi:type="dcterms:W3CDTF">2015-10-12T11:50:00Z</dcterms:created>
  <dcterms:modified xsi:type="dcterms:W3CDTF">2015-12-18T11:11:00Z</dcterms:modified>
</cp:coreProperties>
</file>