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B3381D" w14:textId="7FF4D9F0" w:rsidR="00F11087" w:rsidRDefault="00400C3F" w:rsidP="00400C3F">
      <w:pPr>
        <w:rPr>
          <w:rFonts w:ascii="Times New Roman" w:hAnsi="Times New Roman"/>
        </w:rPr>
      </w:pPr>
      <w:r>
        <w:rPr>
          <w:rFonts w:ascii="Times New Roman" w:hAnsi="Times New Roman"/>
        </w:rPr>
        <w:t xml:space="preserve"> </w:t>
      </w:r>
    </w:p>
    <w:p w14:paraId="787C97A2" w14:textId="376E1868" w:rsidR="00F11087" w:rsidRDefault="00A666ED" w:rsidP="00F11087">
      <w:pPr>
        <w:jc w:val="center"/>
        <w:rPr>
          <w:rFonts w:ascii="Times New Roman" w:hAnsi="Times New Roman"/>
        </w:rPr>
      </w:pPr>
      <w:r>
        <w:rPr>
          <w:rFonts w:ascii="Times New Roman" w:hAnsi="Times New Roman"/>
        </w:rPr>
        <w:t>752</w:t>
      </w:r>
      <w:r w:rsidR="00F11087">
        <w:rPr>
          <w:rFonts w:ascii="Times New Roman" w:hAnsi="Times New Roman"/>
        </w:rPr>
        <w:t xml:space="preserve"> maggio 19, (Roma)</w:t>
      </w:r>
      <w:r w:rsidR="002F482A" w:rsidRPr="002F482A">
        <w:rPr>
          <w:rStyle w:val="Refdenotaalfinal"/>
          <w:rFonts w:ascii="Times New Roman" w:hAnsi="Times New Roman"/>
        </w:rPr>
        <w:t xml:space="preserve"> </w:t>
      </w:r>
      <w:r w:rsidR="002F482A">
        <w:rPr>
          <w:rStyle w:val="Refdenotaalfinal"/>
          <w:rFonts w:ascii="Times New Roman" w:hAnsi="Times New Roman"/>
        </w:rPr>
        <w:endnoteReference w:id="1"/>
      </w:r>
    </w:p>
    <w:p w14:paraId="5ED21FA8" w14:textId="77777777" w:rsidR="00F11087" w:rsidRDefault="00F11087" w:rsidP="00F11087">
      <w:pPr>
        <w:jc w:val="both"/>
        <w:rPr>
          <w:rFonts w:ascii="Times New Roman" w:hAnsi="Times New Roman"/>
        </w:rPr>
      </w:pPr>
    </w:p>
    <w:p w14:paraId="3E1548F9" w14:textId="4B07A99A" w:rsidR="00F11087" w:rsidRDefault="00F11087" w:rsidP="00F11087">
      <w:pPr>
        <w:jc w:val="both"/>
        <w:rPr>
          <w:rFonts w:ascii="Times New Roman" w:hAnsi="Times New Roman"/>
        </w:rPr>
      </w:pPr>
      <w:r>
        <w:rPr>
          <w:rFonts w:ascii="Times New Roman" w:hAnsi="Times New Roman"/>
        </w:rPr>
        <w:t>Stefanus II conferma a Stabilis, vescovo di Arezzo, l’antico possesso delle</w:t>
      </w:r>
      <w:r w:rsidR="000324C3">
        <w:rPr>
          <w:rFonts w:ascii="Times New Roman" w:hAnsi="Times New Roman"/>
        </w:rPr>
        <w:t xml:space="preserve"> pievi e </w:t>
      </w:r>
      <w:r w:rsidR="00E036CF">
        <w:rPr>
          <w:rFonts w:ascii="Times New Roman" w:hAnsi="Times New Roman"/>
        </w:rPr>
        <w:t>dei</w:t>
      </w:r>
      <w:r w:rsidR="006A7D43">
        <w:rPr>
          <w:rFonts w:ascii="Times New Roman" w:hAnsi="Times New Roman"/>
        </w:rPr>
        <w:t xml:space="preserve"> </w:t>
      </w:r>
      <w:r w:rsidR="000324C3">
        <w:rPr>
          <w:rFonts w:ascii="Times New Roman" w:hAnsi="Times New Roman"/>
        </w:rPr>
        <w:t xml:space="preserve">monasteri situate nel </w:t>
      </w:r>
      <w:r w:rsidR="000324C3">
        <w:rPr>
          <w:rFonts w:ascii="Times New Roman" w:hAnsi="Times New Roman"/>
          <w:i/>
        </w:rPr>
        <w:t xml:space="preserve">territorium </w:t>
      </w:r>
      <w:r w:rsidR="001605CA">
        <w:rPr>
          <w:rFonts w:ascii="Times New Roman" w:hAnsi="Times New Roman"/>
        </w:rPr>
        <w:t>senese.</w:t>
      </w:r>
    </w:p>
    <w:p w14:paraId="519D433C" w14:textId="77777777" w:rsidR="00F11087" w:rsidRDefault="00F11087" w:rsidP="00F11087">
      <w:pPr>
        <w:jc w:val="both"/>
        <w:rPr>
          <w:rFonts w:ascii="Times New Roman" w:hAnsi="Times New Roman"/>
        </w:rPr>
      </w:pPr>
    </w:p>
    <w:p w14:paraId="19293947" w14:textId="77777777" w:rsidR="00F11087" w:rsidRDefault="00F11087" w:rsidP="00F110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Copia, seconda metà IX secolo - prima metà XI secolo</w:t>
      </w:r>
      <w:r>
        <w:rPr>
          <w:rStyle w:val="Refdenotaalfinal"/>
          <w:rFonts w:ascii="Times New Roman" w:eastAsia="Times New Roman" w:hAnsi="Times New Roman"/>
        </w:rPr>
        <w:t xml:space="preserve"> </w:t>
      </w:r>
      <w:r>
        <w:rPr>
          <w:rStyle w:val="Refdenotaalfinal"/>
          <w:rFonts w:ascii="Times New Roman" w:eastAsia="Times New Roman" w:hAnsi="Times New Roman"/>
        </w:rPr>
        <w:endnoteReference w:id="2"/>
      </w:r>
      <w:r>
        <w:rPr>
          <w:rFonts w:ascii="Times New Roman" w:eastAsia="Times New Roman" w:hAnsi="Times New Roman"/>
        </w:rPr>
        <w:t xml:space="preserve">. </w:t>
      </w:r>
    </w:p>
    <w:p w14:paraId="5D872285" w14:textId="77777777" w:rsidR="00F11087" w:rsidRDefault="00F11087" w:rsidP="00F11087">
      <w:pPr>
        <w:jc w:val="both"/>
        <w:rPr>
          <w:rFonts w:ascii="Times New Roman" w:hAnsi="Times New Roman"/>
        </w:rPr>
      </w:pPr>
      <w:r>
        <w:rPr>
          <w:rFonts w:ascii="Times New Roman" w:eastAsia="Times New Roman" w:hAnsi="Times New Roman"/>
        </w:rPr>
        <w:t>Archivio Storico Diocesano di Arezzo. Carte della Canonica, n. 3 [B]</w:t>
      </w:r>
      <w:r>
        <w:rPr>
          <w:rStyle w:val="Refdenotaalfinal"/>
          <w:rFonts w:ascii="Times New Roman" w:hAnsi="Times New Roman"/>
        </w:rPr>
        <w:endnoteReference w:customMarkFollows="1" w:id="3"/>
        <w:t>*</w:t>
      </w:r>
      <w:r>
        <w:rPr>
          <w:rFonts w:ascii="Times New Roman" w:hAnsi="Times New Roman"/>
        </w:rPr>
        <w:t>.</w:t>
      </w:r>
    </w:p>
    <w:p w14:paraId="24443E55" w14:textId="77777777" w:rsidR="00F11087" w:rsidRDefault="00F11087" w:rsidP="00F11087">
      <w:pPr>
        <w:jc w:val="both"/>
        <w:rPr>
          <w:rFonts w:ascii="Times New Roman" w:hAnsi="Times New Roman"/>
        </w:rPr>
      </w:pPr>
    </w:p>
    <w:p w14:paraId="6917F993" w14:textId="304827B6" w:rsidR="00F11087" w:rsidRDefault="00F11087" w:rsidP="00F11087">
      <w:pPr>
        <w:jc w:val="both"/>
        <w:rPr>
          <w:rFonts w:ascii="Times New Roman" w:hAnsi="Times New Roman"/>
        </w:rPr>
      </w:pPr>
      <w:r>
        <w:rPr>
          <w:rFonts w:ascii="Times New Roman" w:hAnsi="Times New Roman"/>
        </w:rPr>
        <w:t>Edizioni: P</w:t>
      </w:r>
      <w:r w:rsidR="00796F90">
        <w:rPr>
          <w:rFonts w:ascii="Times New Roman" w:hAnsi="Times New Roman"/>
        </w:rPr>
        <w:t>asqui,</w:t>
      </w:r>
      <w:r>
        <w:rPr>
          <w:rFonts w:ascii="Times New Roman" w:hAnsi="Times New Roman"/>
        </w:rPr>
        <w:t xml:space="preserve"> n. 11</w:t>
      </w:r>
      <w:r>
        <w:rPr>
          <w:rStyle w:val="Refdenotaalfinal"/>
          <w:rFonts w:ascii="Times New Roman" w:hAnsi="Times New Roman"/>
        </w:rPr>
        <w:endnoteReference w:id="4"/>
      </w:r>
    </w:p>
    <w:p w14:paraId="57CE6D2B" w14:textId="77777777" w:rsidR="00F11087" w:rsidRDefault="00F11087" w:rsidP="00F11087">
      <w:pPr>
        <w:jc w:val="both"/>
        <w:rPr>
          <w:rFonts w:ascii="Times New Roman" w:hAnsi="Times New Roman"/>
        </w:rPr>
      </w:pPr>
    </w:p>
    <w:p w14:paraId="253EF2A0" w14:textId="5D14BAE7" w:rsidR="00F11087" w:rsidRDefault="00F11087" w:rsidP="00F11087">
      <w:pPr>
        <w:jc w:val="both"/>
        <w:rPr>
          <w:rFonts w:ascii="Times New Roman" w:hAnsi="Times New Roman"/>
        </w:rPr>
      </w:pPr>
      <w:r>
        <w:rPr>
          <w:rFonts w:ascii="Times New Roman" w:hAnsi="Times New Roman"/>
        </w:rPr>
        <w:t xml:space="preserve">Stephanus </w:t>
      </w:r>
      <w:r w:rsidR="003E703E">
        <w:rPr>
          <w:rStyle w:val="Refdenotaalfinal"/>
          <w:rFonts w:ascii="Times New Roman" w:hAnsi="Times New Roman"/>
        </w:rPr>
        <w:endnoteReference w:customMarkFollows="1" w:id="5"/>
        <w:t>a</w:t>
      </w:r>
      <w:r w:rsidR="003E703E">
        <w:rPr>
          <w:rFonts w:ascii="Times New Roman" w:hAnsi="Times New Roman"/>
        </w:rPr>
        <w:t xml:space="preserve"> </w:t>
      </w:r>
      <w:r>
        <w:rPr>
          <w:rFonts w:ascii="Times New Roman" w:hAnsi="Times New Roman"/>
        </w:rPr>
        <w:t>episcopus, servus servorum Dei, reverentissimo et sanctissimo fratri Stabili</w:t>
      </w:r>
      <w:r>
        <w:rPr>
          <w:rStyle w:val="Refdenotaalfinal"/>
          <w:rFonts w:ascii="Times New Roman" w:hAnsi="Times New Roman"/>
        </w:rPr>
        <w:endnoteReference w:id="6"/>
      </w:r>
      <w:r>
        <w:rPr>
          <w:rFonts w:ascii="Times New Roman" w:hAnsi="Times New Roman"/>
        </w:rPr>
        <w:t xml:space="preserve"> episcopo sancte aecclesiae Aretine et per eum in eadem ecclesiam</w:t>
      </w:r>
      <w:r>
        <w:rPr>
          <w:rStyle w:val="Refdenotaalfinal"/>
          <w:rFonts w:ascii="Times New Roman" w:hAnsi="Times New Roman"/>
        </w:rPr>
        <w:endnoteReference w:customMarkFollows="1" w:id="7"/>
        <w:t>b</w:t>
      </w:r>
      <w:r>
        <w:rPr>
          <w:rFonts w:ascii="Times New Roman" w:hAnsi="Times New Roman"/>
        </w:rPr>
        <w:t xml:space="preserve"> in perpetuum. Convenit apostolico moderamine pia religione viventibus benivola compassione succurrere et poscentium desideriis congruum impertiri suffragium, ut que mota vel acta atque confirmata perpetuis temporibus maneant inconcussa. Igitur quia a tempore precellentissimi</w:t>
      </w:r>
      <w:r>
        <w:rPr>
          <w:rStyle w:val="Refdenotaalfinal"/>
          <w:rFonts w:ascii="Times New Roman" w:hAnsi="Times New Roman"/>
        </w:rPr>
        <w:endnoteReference w:customMarkFollows="1" w:id="8"/>
        <w:t>c</w:t>
      </w:r>
      <w:r>
        <w:rPr>
          <w:rFonts w:ascii="Times New Roman" w:hAnsi="Times New Roman"/>
        </w:rPr>
        <w:t xml:space="preserve"> bone</w:t>
      </w:r>
      <w:r>
        <w:rPr>
          <w:rStyle w:val="Refdenotaalfinal"/>
          <w:rFonts w:ascii="Times New Roman" w:hAnsi="Times New Roman"/>
        </w:rPr>
        <w:endnoteReference w:customMarkFollows="1" w:id="9"/>
        <w:t>d</w:t>
      </w:r>
      <w:r>
        <w:rPr>
          <w:rFonts w:ascii="Times New Roman" w:hAnsi="Times New Roman"/>
        </w:rPr>
        <w:t xml:space="preserve"> memoriae Liuprandi regis gentis Langubardorum</w:t>
      </w:r>
      <w:r>
        <w:rPr>
          <w:rStyle w:val="Refdenotaalfinal"/>
          <w:rFonts w:ascii="Times New Roman" w:hAnsi="Times New Roman"/>
        </w:rPr>
        <w:endnoteReference w:customMarkFollows="1" w:id="10"/>
        <w:t>e</w:t>
      </w:r>
      <w:r>
        <w:rPr>
          <w:rFonts w:ascii="Times New Roman" w:hAnsi="Times New Roman"/>
        </w:rPr>
        <w:t xml:space="preserve"> intentio orta est inter Lupertianum</w:t>
      </w:r>
      <w:r>
        <w:rPr>
          <w:rStyle w:val="Refdenotaalfinal"/>
          <w:rFonts w:ascii="Times New Roman" w:hAnsi="Times New Roman"/>
        </w:rPr>
        <w:endnoteReference w:id="11"/>
      </w:r>
      <w:r>
        <w:rPr>
          <w:rFonts w:ascii="Times New Roman" w:hAnsi="Times New Roman"/>
        </w:rPr>
        <w:t xml:space="preserve"> tunc episcopum suprascriptae</w:t>
      </w:r>
      <w:r>
        <w:rPr>
          <w:rStyle w:val="Refdenotaalfinal"/>
          <w:rFonts w:ascii="Times New Roman" w:hAnsi="Times New Roman"/>
        </w:rPr>
        <w:endnoteReference w:customMarkFollows="1" w:id="12"/>
        <w:t>f</w:t>
      </w:r>
      <w:r>
        <w:rPr>
          <w:rFonts w:ascii="Times New Roman" w:hAnsi="Times New Roman"/>
        </w:rPr>
        <w:t xml:space="preserve"> ecclesiae Aritine et Adeodatum</w:t>
      </w:r>
      <w:r>
        <w:rPr>
          <w:rStyle w:val="Refdenotaalfinal"/>
          <w:rFonts w:ascii="Times New Roman" w:hAnsi="Times New Roman"/>
        </w:rPr>
        <w:endnoteReference w:id="13"/>
      </w:r>
      <w:r>
        <w:rPr>
          <w:rFonts w:ascii="Times New Roman" w:hAnsi="Times New Roman"/>
        </w:rPr>
        <w:t xml:space="preserve"> illo tempore episcopum sancte Senensis ecclesiae pro diocesi, idest basilicam beati</w:t>
      </w:r>
      <w:r>
        <w:rPr>
          <w:rStyle w:val="Refdenotaalfinal"/>
          <w:rFonts w:ascii="Times New Roman" w:hAnsi="Times New Roman"/>
        </w:rPr>
        <w:endnoteReference w:id="14"/>
      </w:r>
      <w:r>
        <w:rPr>
          <w:rFonts w:ascii="Times New Roman" w:hAnsi="Times New Roman"/>
        </w:rPr>
        <w:t xml:space="preserve"> Ampsani</w:t>
      </w:r>
      <w:r>
        <w:rPr>
          <w:rStyle w:val="Refdenotaalfinal"/>
          <w:rFonts w:ascii="Times New Roman" w:hAnsi="Times New Roman"/>
        </w:rPr>
        <w:endnoteReference w:customMarkFollows="1" w:id="15"/>
        <w:t>g</w:t>
      </w:r>
      <w:r>
        <w:rPr>
          <w:rFonts w:ascii="Times New Roman" w:hAnsi="Times New Roman"/>
        </w:rPr>
        <w:t>, cum diversis</w:t>
      </w:r>
      <w:r>
        <w:rPr>
          <w:rStyle w:val="Refdenotaalfinal"/>
          <w:rFonts w:ascii="Times New Roman" w:hAnsi="Times New Roman"/>
        </w:rPr>
        <w:endnoteReference w:customMarkFollows="1" w:id="16"/>
        <w:t>h</w:t>
      </w:r>
      <w:r>
        <w:rPr>
          <w:rFonts w:ascii="Times New Roman" w:hAnsi="Times New Roman"/>
        </w:rPr>
        <w:t xml:space="preserve"> oraculis atque baptisteriis eodem</w:t>
      </w:r>
      <w:r>
        <w:rPr>
          <w:rStyle w:val="Refdenotaalfinal"/>
          <w:rFonts w:ascii="Times New Roman" w:hAnsi="Times New Roman"/>
        </w:rPr>
        <w:endnoteReference w:customMarkFollows="1" w:id="17"/>
        <w:t>i</w:t>
      </w:r>
      <w:r>
        <w:rPr>
          <w:rFonts w:ascii="Times New Roman" w:hAnsi="Times New Roman"/>
        </w:rPr>
        <w:t xml:space="preserve"> dioceseos subiacentibus: quae esse manifestum est sub consecratione et regimine prefate sancte Aretine aecclesiae; territorium vero esset prefate nominate</w:t>
      </w:r>
      <w:r>
        <w:rPr>
          <w:rStyle w:val="Refdenotaalfinal"/>
          <w:rFonts w:ascii="Times New Roman" w:hAnsi="Times New Roman"/>
        </w:rPr>
        <w:endnoteReference w:customMarkFollows="1" w:id="18"/>
        <w:t>j</w:t>
      </w:r>
      <w:r>
        <w:rPr>
          <w:rFonts w:ascii="Times New Roman" w:hAnsi="Times New Roman"/>
        </w:rPr>
        <w:t xml:space="preserve"> civitatis senensis. Ex qua intentione inter ut</w:t>
      </w:r>
      <w:r w:rsidR="00BC12AD">
        <w:rPr>
          <w:rFonts w:ascii="Times New Roman" w:hAnsi="Times New Roman"/>
        </w:rPr>
        <w:t>rasque partes non parva fuerat v</w:t>
      </w:r>
      <w:r>
        <w:rPr>
          <w:rFonts w:ascii="Times New Roman" w:hAnsi="Times New Roman"/>
        </w:rPr>
        <w:t>exatio. Quae partes, dum in presentia p</w:t>
      </w:r>
      <w:r w:rsidR="000103F6">
        <w:rPr>
          <w:rFonts w:ascii="Times New Roman" w:hAnsi="Times New Roman"/>
        </w:rPr>
        <w:t>refati Liutprandi tunc regis adv</w:t>
      </w:r>
      <w:r>
        <w:rPr>
          <w:rFonts w:ascii="Times New Roman" w:hAnsi="Times New Roman"/>
        </w:rPr>
        <w:t>enissent, post multas altercationes prenominatus</w:t>
      </w:r>
      <w:r>
        <w:rPr>
          <w:rStyle w:val="Refdenotaalfinal"/>
          <w:rFonts w:ascii="Times New Roman" w:hAnsi="Times New Roman"/>
        </w:rPr>
        <w:endnoteReference w:customMarkFollows="1" w:id="19"/>
        <w:t>k</w:t>
      </w:r>
      <w:r>
        <w:rPr>
          <w:rFonts w:ascii="Times New Roman" w:hAnsi="Times New Roman"/>
        </w:rPr>
        <w:t xml:space="preserve"> Adeodatus episcopus sancte Senensis ecclesie confessus est coram sacerdotibus atque iudicibus et prefato rege, quod ex occasione iurgius ille proveniret, quia in</w:t>
      </w:r>
      <w:r>
        <w:rPr>
          <w:rStyle w:val="Refdenotaalfinal"/>
          <w:rFonts w:ascii="Times New Roman" w:hAnsi="Times New Roman"/>
        </w:rPr>
        <w:endnoteReference w:customMarkFollows="1" w:id="20"/>
        <w:t>l</w:t>
      </w:r>
      <w:r>
        <w:rPr>
          <w:rFonts w:ascii="Times New Roman" w:hAnsi="Times New Roman"/>
        </w:rPr>
        <w:t xml:space="preserve"> tempore illo factum est, pro quo per precepti</w:t>
      </w:r>
      <w:r w:rsidR="006F1FD0">
        <w:rPr>
          <w:rStyle w:val="Refdenotaalfinal"/>
          <w:rFonts w:ascii="Times New Roman" w:hAnsi="Times New Roman"/>
        </w:rPr>
        <w:endnoteReference w:customMarkFollows="1" w:id="21"/>
        <w:t>m</w:t>
      </w:r>
      <w:r>
        <w:rPr>
          <w:rFonts w:ascii="Times New Roman" w:hAnsi="Times New Roman"/>
        </w:rPr>
        <w:t xml:space="preserve"> sui seriem iudiciumque ipsam diocesim, ut fuit a tempore Romanorum, sancte</w:t>
      </w:r>
      <w:r w:rsidR="004E6504">
        <w:rPr>
          <w:rFonts w:ascii="Times New Roman" w:hAnsi="Times New Roman"/>
        </w:rPr>
        <w:t xml:space="preserve"> ecclesie Aritine esse confirmav</w:t>
      </w:r>
      <w:r>
        <w:rPr>
          <w:rFonts w:ascii="Times New Roman" w:hAnsi="Times New Roman"/>
        </w:rPr>
        <w:t>it, et tunc usque ad preteritam dudum quartam indictionem prenominata diocesis, cum ecclesiis atque oraculis seu bapstisteriis, inconcusse possesse erant</w:t>
      </w:r>
      <w:r>
        <w:rPr>
          <w:rStyle w:val="Refdenotaalfinal"/>
          <w:rFonts w:ascii="Times New Roman" w:hAnsi="Times New Roman"/>
        </w:rPr>
        <w:endnoteReference w:customMarkFollows="1" w:id="22"/>
        <w:t>n</w:t>
      </w:r>
      <w:r>
        <w:rPr>
          <w:rFonts w:ascii="Times New Roman" w:hAnsi="Times New Roman"/>
        </w:rPr>
        <w:t>. Ex occasionem autem transmigrandi intro ecclesiam beati Ampsani</w:t>
      </w:r>
      <w:r>
        <w:rPr>
          <w:rStyle w:val="Refdenotaalfinal"/>
          <w:rFonts w:ascii="Times New Roman" w:hAnsi="Times New Roman"/>
        </w:rPr>
        <w:endnoteReference w:customMarkFollows="1" w:id="23"/>
        <w:t>o</w:t>
      </w:r>
      <w:r>
        <w:rPr>
          <w:rFonts w:ascii="Times New Roman" w:hAnsi="Times New Roman"/>
        </w:rPr>
        <w:t xml:space="preserve"> corpus, in qua altare construxit Gauspertus senensis gastaldius, ex devotione dedicandi, sine cognitione et presentia iamdicti Stabilis sancte Aritine ecclesie episcopi, deducto Ansfrido episcopo sancte ecclesiae Senensis, sanctorum canonum instituta et beatorum patrum traditiones</w:t>
      </w:r>
      <w:r w:rsidR="00CA5766">
        <w:rPr>
          <w:rFonts w:ascii="Times New Roman" w:hAnsi="Times New Roman"/>
        </w:rPr>
        <w:t xml:space="preserve"> transgressus, sub simulatione v</w:t>
      </w:r>
      <w:r>
        <w:rPr>
          <w:rFonts w:ascii="Times New Roman" w:hAnsi="Times New Roman"/>
        </w:rPr>
        <w:t>iolentiae sibi ingeste</w:t>
      </w:r>
      <w:r>
        <w:rPr>
          <w:rStyle w:val="Refdenotaalfinal"/>
          <w:rFonts w:ascii="Times New Roman" w:hAnsi="Times New Roman"/>
        </w:rPr>
        <w:endnoteReference w:customMarkFollows="1" w:id="24"/>
        <w:t>p</w:t>
      </w:r>
      <w:r>
        <w:rPr>
          <w:rFonts w:ascii="Times New Roman" w:hAnsi="Times New Roman"/>
        </w:rPr>
        <w:t>, prefati sancti Ampsani</w:t>
      </w:r>
      <w:r>
        <w:rPr>
          <w:rStyle w:val="Refdenotaalfinal"/>
          <w:rFonts w:ascii="Times New Roman" w:hAnsi="Times New Roman"/>
        </w:rPr>
        <w:endnoteReference w:customMarkFollows="1" w:id="25"/>
        <w:t>q</w:t>
      </w:r>
      <w:r>
        <w:rPr>
          <w:rFonts w:ascii="Times New Roman" w:hAnsi="Times New Roman"/>
        </w:rPr>
        <w:t xml:space="preserve"> corpus transmigravit, et altare intro eandem ecclesiam dedicavit. Interpellatione autem facta precessori nostro sancte recordationis Zachariae</w:t>
      </w:r>
      <w:r>
        <w:rPr>
          <w:rStyle w:val="Refdenotaalfinal"/>
          <w:rFonts w:ascii="Times New Roman" w:hAnsi="Times New Roman"/>
        </w:rPr>
        <w:endnoteReference w:id="26"/>
      </w:r>
      <w:r>
        <w:rPr>
          <w:rFonts w:ascii="Times New Roman" w:hAnsi="Times New Roman"/>
        </w:rPr>
        <w:t xml:space="preserve"> pape a te suprascripto Stabili sanctissimo episcopo, predicto Ansfredo episcopo vexationis et interdictionis apostolice misse sunt littere</w:t>
      </w:r>
      <w:r>
        <w:rPr>
          <w:rStyle w:val="Refdenotaalfinal"/>
          <w:rFonts w:ascii="Times New Roman" w:hAnsi="Times New Roman"/>
        </w:rPr>
        <w:endnoteReference w:customMarkFollows="1" w:id="27"/>
        <w:t>r</w:t>
      </w:r>
      <w:r>
        <w:rPr>
          <w:rFonts w:ascii="Times New Roman" w:hAnsi="Times New Roman"/>
        </w:rPr>
        <w:t>. Ipse vero subterfugiens reatus sui culpa, apud Aistulfum excellentissimum regem fugam petiit. Qui precellentissimus rex a sedis apostolice iudicium</w:t>
      </w:r>
      <w:r>
        <w:rPr>
          <w:rStyle w:val="Refdenotaalfinal"/>
          <w:rFonts w:ascii="Times New Roman" w:hAnsi="Times New Roman"/>
        </w:rPr>
        <w:endnoteReference w:customMarkFollows="1" w:id="28"/>
        <w:t>s</w:t>
      </w:r>
      <w:r>
        <w:rPr>
          <w:rFonts w:ascii="Times New Roman" w:hAnsi="Times New Roman"/>
        </w:rPr>
        <w:t xml:space="preserve"> subtrahere noluit. Pro quo per apostolicas sillabas ortatus Th</w:t>
      </w:r>
      <w:r w:rsidR="00E87CB7">
        <w:rPr>
          <w:rFonts w:ascii="Times New Roman" w:hAnsi="Times New Roman"/>
        </w:rPr>
        <w:t>omas episcopus sancte ecclesie V</w:t>
      </w:r>
      <w:r>
        <w:rPr>
          <w:rFonts w:ascii="Times New Roman" w:hAnsi="Times New Roman"/>
        </w:rPr>
        <w:t>oloterrensis et</w:t>
      </w:r>
      <w:r>
        <w:rPr>
          <w:rStyle w:val="Refdenotaalfinal"/>
          <w:rFonts w:ascii="Times New Roman" w:hAnsi="Times New Roman"/>
        </w:rPr>
        <w:endnoteReference w:customMarkFollows="1" w:id="29"/>
        <w:t>t</w:t>
      </w:r>
      <w:r>
        <w:rPr>
          <w:rFonts w:ascii="Times New Roman" w:hAnsi="Times New Roman"/>
        </w:rPr>
        <w:t xml:space="preserve"> Tachipert episcopus Castri Felicitatis</w:t>
      </w:r>
      <w:r>
        <w:rPr>
          <w:rStyle w:val="Refdenotaalfinal"/>
          <w:rFonts w:ascii="Times New Roman" w:hAnsi="Times New Roman"/>
        </w:rPr>
        <w:endnoteReference w:id="30"/>
      </w:r>
      <w:r>
        <w:rPr>
          <w:rFonts w:ascii="Times New Roman" w:hAnsi="Times New Roman"/>
        </w:rPr>
        <w:t>, Gisolfus Clusine ecclesie episcopus inter prefatos episcopos conveniri</w:t>
      </w:r>
      <w:r>
        <w:rPr>
          <w:rStyle w:val="Refdenotaalfinal"/>
          <w:rFonts w:ascii="Times New Roman" w:hAnsi="Times New Roman"/>
        </w:rPr>
        <w:endnoteReference w:customMarkFollows="1" w:id="31"/>
        <w:t>u</w:t>
      </w:r>
      <w:r>
        <w:rPr>
          <w:rFonts w:ascii="Times New Roman" w:hAnsi="Times New Roman"/>
        </w:rPr>
        <w:t>. Quod et factum est. Et post multam altercationem professus erat</w:t>
      </w:r>
      <w:r>
        <w:rPr>
          <w:rStyle w:val="Refdenotaalfinal"/>
          <w:rFonts w:ascii="Times New Roman" w:hAnsi="Times New Roman"/>
        </w:rPr>
        <w:endnoteReference w:customMarkFollows="1" w:id="32"/>
        <w:t>v</w:t>
      </w:r>
      <w:r>
        <w:rPr>
          <w:rFonts w:ascii="Times New Roman" w:hAnsi="Times New Roman"/>
        </w:rPr>
        <w:t xml:space="preserve"> suprascriptus Ansfridus episcopus senensis, quod pro nulla invasione corpus beati Ampsani transmigrasset aut altare dedicasset, nisi quod volentem nolentemque eum coegisset prefatus Gauspertus</w:t>
      </w:r>
      <w:r>
        <w:rPr>
          <w:rStyle w:val="Refdenotaalfinal"/>
          <w:rFonts w:ascii="Times New Roman" w:hAnsi="Times New Roman"/>
        </w:rPr>
        <w:endnoteReference w:customMarkFollows="1" w:id="33"/>
        <w:t>w</w:t>
      </w:r>
      <w:r>
        <w:rPr>
          <w:rFonts w:ascii="Times New Roman" w:hAnsi="Times New Roman"/>
        </w:rPr>
        <w:t xml:space="preserve"> castaldius</w:t>
      </w:r>
      <w:r>
        <w:rPr>
          <w:rStyle w:val="Refdenotaalfinal"/>
          <w:rFonts w:ascii="Times New Roman" w:hAnsi="Times New Roman"/>
        </w:rPr>
        <w:endnoteReference w:customMarkFollows="1" w:id="34"/>
        <w:t>x</w:t>
      </w:r>
      <w:r>
        <w:rPr>
          <w:rFonts w:ascii="Times New Roman" w:hAnsi="Times New Roman"/>
        </w:rPr>
        <w:t xml:space="preserve"> </w:t>
      </w:r>
      <w:r w:rsidR="004465DA">
        <w:rPr>
          <w:rFonts w:ascii="Times New Roman" w:hAnsi="Times New Roman"/>
        </w:rPr>
        <w:t>senensis in presentia multorum v</w:t>
      </w:r>
      <w:r>
        <w:rPr>
          <w:rFonts w:ascii="Times New Roman" w:hAnsi="Times New Roman"/>
        </w:rPr>
        <w:t>irorum, quorum et nomina in iudicato</w:t>
      </w:r>
      <w:r>
        <w:rPr>
          <w:rStyle w:val="Refdenotaalfinal"/>
          <w:rFonts w:ascii="Times New Roman" w:hAnsi="Times New Roman"/>
        </w:rPr>
        <w:endnoteReference w:customMarkFollows="1" w:id="35"/>
        <w:t>y</w:t>
      </w:r>
      <w:r>
        <w:rPr>
          <w:rFonts w:ascii="Times New Roman" w:hAnsi="Times New Roman"/>
        </w:rPr>
        <w:t xml:space="preserve"> emisso ad predicto Thomas episcopo continentur ascripta. Utraque autem iudicata confirmationis tam excellentissime memorie Liutprandi regis quamque etiam et prefatorum sanctissimorum episcoporum intuentes iuxto</w:t>
      </w:r>
      <w:r>
        <w:rPr>
          <w:rStyle w:val="Refdenotaalfinal"/>
          <w:rFonts w:ascii="Times New Roman" w:hAnsi="Times New Roman"/>
        </w:rPr>
        <w:endnoteReference w:customMarkFollows="1" w:id="36"/>
        <w:t>z</w:t>
      </w:r>
      <w:r>
        <w:rPr>
          <w:rFonts w:ascii="Times New Roman" w:hAnsi="Times New Roman"/>
        </w:rPr>
        <w:t xml:space="preserve"> libramine esse exaratam, et nos apostolica auctoritate veraque </w:t>
      </w:r>
      <w:r>
        <w:rPr>
          <w:rFonts w:ascii="Times New Roman" w:hAnsi="Times New Roman"/>
        </w:rPr>
        <w:lastRenderedPageBreak/>
        <w:t xml:space="preserve">confirmatione per hunc apostolicum preceptum decernimus omni in tempore firma stabilitate persistere. Et si quispiam temerario ausu quandoque convellere </w:t>
      </w:r>
      <w:r w:rsidR="00DC4B95">
        <w:rPr>
          <w:rFonts w:ascii="Times New Roman" w:hAnsi="Times New Roman"/>
        </w:rPr>
        <w:t>v</w:t>
      </w:r>
      <w:r w:rsidR="00704439">
        <w:rPr>
          <w:rFonts w:ascii="Times New Roman" w:hAnsi="Times New Roman"/>
        </w:rPr>
        <w:t>oluerit aut eandem diocesim inv</w:t>
      </w:r>
      <w:r>
        <w:rPr>
          <w:rFonts w:ascii="Times New Roman" w:hAnsi="Times New Roman"/>
        </w:rPr>
        <w:t>adere, sciat se in diem futuri examinis districtam reddere rationem.</w:t>
      </w:r>
    </w:p>
    <w:p w14:paraId="7AEE9C18" w14:textId="77777777" w:rsidR="00F11087" w:rsidRDefault="00F11087" w:rsidP="00F11087">
      <w:pPr>
        <w:jc w:val="right"/>
        <w:rPr>
          <w:rFonts w:ascii="Times New Roman" w:hAnsi="Times New Roman"/>
        </w:rPr>
      </w:pPr>
      <w:r>
        <w:rPr>
          <w:rFonts w:ascii="Times New Roman" w:hAnsi="Times New Roman"/>
        </w:rPr>
        <w:t>+</w:t>
      </w:r>
      <w:r>
        <w:rPr>
          <w:rStyle w:val="Refdenotaalfinal"/>
          <w:rFonts w:ascii="Times New Roman" w:hAnsi="Times New Roman"/>
        </w:rPr>
        <w:endnoteReference w:customMarkFollows="1" w:id="37"/>
        <w:t>aa</w:t>
      </w:r>
      <w:r>
        <w:rPr>
          <w:rFonts w:ascii="Times New Roman" w:hAnsi="Times New Roman"/>
        </w:rPr>
        <w:t xml:space="preserve"> Bene valete.</w:t>
      </w:r>
    </w:p>
    <w:p w14:paraId="2EE738DC" w14:textId="77777777" w:rsidR="00F11087" w:rsidRDefault="00F11087" w:rsidP="00F11087">
      <w:pPr>
        <w:jc w:val="both"/>
        <w:rPr>
          <w:rFonts w:ascii="Times New Roman" w:hAnsi="Times New Roman"/>
        </w:rPr>
      </w:pPr>
      <w:r>
        <w:rPr>
          <w:rFonts w:ascii="Times New Roman" w:hAnsi="Times New Roman"/>
        </w:rPr>
        <w:t xml:space="preserve">Die </w:t>
      </w:r>
      <w:r>
        <w:rPr>
          <w:rFonts w:ascii="Times New Roman" w:hAnsi="Times New Roman"/>
          <w:sz w:val="20"/>
        </w:rPr>
        <w:t xml:space="preserve">XIIII </w:t>
      </w:r>
      <w:r>
        <w:rPr>
          <w:rFonts w:ascii="Times New Roman" w:hAnsi="Times New Roman"/>
        </w:rPr>
        <w:t>kalendas iunias, imperante domno piissimo augusto Constantino a Deo coronatus</w:t>
      </w:r>
      <w:r>
        <w:rPr>
          <w:rStyle w:val="Refdenotaalfinal"/>
          <w:rFonts w:ascii="Times New Roman" w:hAnsi="Times New Roman"/>
        </w:rPr>
        <w:endnoteReference w:customMarkFollows="1" w:id="38"/>
        <w:t>ab</w:t>
      </w:r>
      <w:r>
        <w:rPr>
          <w:rFonts w:ascii="Times New Roman" w:hAnsi="Times New Roman"/>
        </w:rPr>
        <w:t xml:space="preserve"> magno imperatore, anno tricesimo</w:t>
      </w:r>
      <w:r>
        <w:rPr>
          <w:rStyle w:val="Refdenotaalfinal"/>
          <w:rFonts w:ascii="Times New Roman" w:hAnsi="Times New Roman"/>
        </w:rPr>
        <w:endnoteReference w:customMarkFollows="1" w:id="39"/>
        <w:t>ac</w:t>
      </w:r>
      <w:r>
        <w:rPr>
          <w:rFonts w:ascii="Times New Roman" w:hAnsi="Times New Roman"/>
        </w:rPr>
        <w:t xml:space="preserve"> secundo, post consulatum eius anno duodecimo, indictione quinta.</w:t>
      </w:r>
    </w:p>
    <w:p w14:paraId="151D0D85"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D1732" w14:textId="77777777" w:rsidR="00F11087" w:rsidRDefault="00F11087" w:rsidP="00F11087">
      <w:r>
        <w:separator/>
      </w:r>
    </w:p>
  </w:endnote>
  <w:endnote w:type="continuationSeparator" w:id="0">
    <w:p w14:paraId="32C2CF46" w14:textId="77777777" w:rsidR="00F11087" w:rsidRDefault="00F11087" w:rsidP="00F11087">
      <w:r>
        <w:continuationSeparator/>
      </w:r>
    </w:p>
  </w:endnote>
  <w:endnote w:id="1">
    <w:p w14:paraId="27A31BCC" w14:textId="29B04108" w:rsidR="002F482A" w:rsidRPr="00615E6C" w:rsidRDefault="002F482A" w:rsidP="002F482A">
      <w:pPr>
        <w:pStyle w:val="Textonotaalfinal"/>
        <w:rPr>
          <w:lang w:val="es-ES_tradnl"/>
        </w:rPr>
      </w:pPr>
      <w:r>
        <w:rPr>
          <w:rStyle w:val="Refdenotaalfinal"/>
        </w:rPr>
        <w:endnoteRef/>
      </w:r>
      <w:r>
        <w:t xml:space="preserve"> Il documento che qui si presenta fu trascritto sul recto del rotolo membranaceo opistografo (Rotolo n. 3 della Canonica aretina), composto da cinque pergamene cucite as</w:t>
      </w:r>
      <w:r w:rsidR="001F59EF">
        <w:t>sieme dal loro lato più corto. Q</w:t>
      </w:r>
      <w:r>
        <w:t>uesto documento</w:t>
      </w:r>
      <w:r>
        <w:rPr>
          <w:i/>
        </w:rPr>
        <w:t xml:space="preserve"> </w:t>
      </w:r>
      <w:r w:rsidRPr="00731A8F">
        <w:t xml:space="preserve">occupa </w:t>
      </w:r>
      <w:r>
        <w:t xml:space="preserve">la pergamena n. V di tale Rotolo). Sul </w:t>
      </w:r>
      <w:r>
        <w:rPr>
          <w:i/>
        </w:rPr>
        <w:t xml:space="preserve">dossier </w:t>
      </w:r>
      <w:r>
        <w:t>doc</w:t>
      </w:r>
      <w:r w:rsidR="00943430">
        <w:t xml:space="preserve">umentario e la bibliografia riguardante </w:t>
      </w:r>
      <w:r>
        <w:t>la controversia tra le diocesi di Arezzo</w:t>
      </w:r>
      <w:r w:rsidR="00F950C9">
        <w:t xml:space="preserve"> e Siena si veda la nota n. 1 al</w:t>
      </w:r>
      <w:r>
        <w:t xml:space="preserve"> documento dell’anno 650 ca.</w:t>
      </w:r>
    </w:p>
  </w:endnote>
  <w:endnote w:id="2">
    <w:p w14:paraId="04D776C6" w14:textId="35549495" w:rsidR="00F11087" w:rsidRDefault="00F11087" w:rsidP="00F11087">
      <w:pPr>
        <w:pStyle w:val="Textonotaalfinal"/>
        <w:rPr>
          <w:b/>
        </w:rPr>
      </w:pPr>
      <w:r>
        <w:rPr>
          <w:rStyle w:val="Refdenotaalfinal"/>
        </w:rPr>
        <w:endnoteRef/>
      </w:r>
      <w:r>
        <w:t xml:space="preserve"> </w:t>
      </w:r>
      <w:r w:rsidR="00565D2A">
        <w:t xml:space="preserve">Luigi Schiaparelli indicava, seguendo Pasqui (1899, I, p. 3), l’anno 1056 come data possibile dell’esecuzione delle copie dei documenti d’epoca longobarda presenti nel Rotolo n. 3. Infatti, nella pergamena n. II del Rotolo è scritto: </w:t>
      </w:r>
      <w:r w:rsidR="00565D2A">
        <w:rPr>
          <w:i/>
        </w:rPr>
        <w:t xml:space="preserve">(C) Haec sunt exemplaria de privilegiis apostolicorum et preceptis regum et imperatorum a veteribus tomis trans/ scripta super contentione Aretinensis ecclesiae atque Senensis, que ego Gerardus sancti Donati primicerius/ fideliter denotavi, Deo et domino nostro Iesu Christo teste et omnibus sanctis, si damnatione cum Iuda traditore in die extremi/ examinis non confundar, de quantum legere potui iuxta meam conscientiam, nihil plus aut minus describens/ per manus Geçonis eiusdem sancte Aretine aecclesie notarii </w:t>
      </w:r>
      <w:r w:rsidR="00565D2A">
        <w:t>(edito in CDL, I, p. 9, nell’introduzione proposta da Schiaparelli al documento che qui si presenta). Successivamente, Carlrichard Brühl (CDL III/1, n. 12, p 52) realizzava una diversa proposta di datazione in base all’analisi fotografica delle pergamene del Rotolo n. 3 eseguita, su sua richiesta, da Bernhard Bischoff, che collocava “nella seconda metà del IX secolo o al più tardi nel primo terzo del X” questa e le altre trascrizioni dei documenti di epoca longobarda (si vedano anche le considerazioni di Brühl 1970, p. 96). Recentemente, François Bougard tornando sull’argomento ha negato l’ipotesi di Bischoff e Brühl e ha segnalato come più probabile data per la realizzazione delle copie cucite insieme nel Rotolo n. 3 un tempo di poco precedente al concilio lateranense del 1059, momento nel quale dovettero essere presentate in giudizio davanti al tribunale convocato a Roma</w:t>
      </w:r>
      <w:r w:rsidR="00565D2A" w:rsidRPr="00AD4BC1">
        <w:t xml:space="preserve"> </w:t>
      </w:r>
      <w:r w:rsidR="00565D2A">
        <w:t xml:space="preserve">a sostegno delle tesi aretine. Le ragioni di Bougard, che attribuisce nuovamente l’opera a Gezone, </w:t>
      </w:r>
      <w:r w:rsidR="00565D2A">
        <w:rPr>
          <w:i/>
        </w:rPr>
        <w:t>sancte Aretine aecclesie notarius</w:t>
      </w:r>
      <w:r w:rsidR="00565D2A">
        <w:t>, riguardano la sua appartenenza alla “première génération des notaires actifs auprès de la cathédrale au XI</w:t>
      </w:r>
      <w:r w:rsidR="00565D2A">
        <w:rPr>
          <w:vertAlign w:val="superscript"/>
        </w:rPr>
        <w:t>e</w:t>
      </w:r>
      <w:r w:rsidR="00565D2A">
        <w:t xml:space="preserve"> siècle” (Bougard 2006, p. 119). Notai a cui si debe quel cambio grafico osservabile nel “laboratorio” aretino studiato nel dettaglio da Giovanna Nicolaj. Ed è proprio Nicolaj, che nel 2012, in margine a un intervento in tema di falso documentario, propone il ritorno alle ipotesi di Bischoff, ovvero a una datazione al pieno secolo IX delle trascrizioni di epoca liutprandea: “Gerardo, primicerio aretino dell’XI, è intervenuto a correggere le copie del IX sul </w:t>
      </w:r>
      <w:r w:rsidR="00565D2A" w:rsidRPr="00792BD1">
        <w:rPr>
          <w:i/>
        </w:rPr>
        <w:t>recto</w:t>
      </w:r>
      <w:r w:rsidR="00565D2A">
        <w:t xml:space="preserve"> (</w:t>
      </w:r>
      <w:r w:rsidR="00565D2A">
        <w:rPr>
          <w:i/>
        </w:rPr>
        <w:t>denotavi</w:t>
      </w:r>
      <w:r w:rsidR="00565D2A">
        <w:t>)”, Feo - Nicolaj 2012, p. 213. Tuttavia, in mancanza di nuovi studi critici specifici sui problemi relativi alla materiale redazione del rotolo, la questione deve rimanere aperta.</w:t>
      </w:r>
    </w:p>
  </w:endnote>
  <w:endnote w:id="3">
    <w:p w14:paraId="58F43D08" w14:textId="6573F3E8" w:rsidR="00F11087" w:rsidRDefault="00F11087" w:rsidP="00F11087">
      <w:pPr>
        <w:pStyle w:val="Textonotaalfinal"/>
      </w:pPr>
      <w:r>
        <w:rPr>
          <w:rStyle w:val="Refdenotaalfinal"/>
        </w:rPr>
        <w:t>*</w:t>
      </w:r>
      <w:r>
        <w:t xml:space="preserve"> </w:t>
      </w:r>
      <w:r w:rsidR="00121B57" w:rsidRPr="005F7E7F">
        <w:rPr>
          <w:lang w:val="es-ES_tradnl"/>
        </w:rPr>
        <w:t xml:space="preserve">La trascrizione è stata condotta sulla riproduzione </w:t>
      </w:r>
      <w:r w:rsidR="00121B57">
        <w:rPr>
          <w:lang w:val="es-ES_tradnl"/>
        </w:rPr>
        <w:t>fotografica di B me</w:t>
      </w:r>
      <w:r w:rsidR="00943430">
        <w:rPr>
          <w:lang w:val="es-ES_tradnl"/>
        </w:rPr>
        <w:t>s</w:t>
      </w:r>
      <w:r w:rsidR="00121B57">
        <w:rPr>
          <w:lang w:val="es-ES_tradnl"/>
        </w:rPr>
        <w:t>sa a mia disposizione dal personale d</w:t>
      </w:r>
      <w:r w:rsidR="00121B57">
        <w:t>ell’Archivio Storico Diocesano di Arezzo.</w:t>
      </w:r>
    </w:p>
  </w:endnote>
  <w:endnote w:id="4">
    <w:p w14:paraId="2CD6311A" w14:textId="6C1DCBF2" w:rsidR="00F11087" w:rsidRDefault="00F11087" w:rsidP="00F11087">
      <w:pPr>
        <w:pStyle w:val="Textonotaalfinal"/>
      </w:pPr>
      <w:r>
        <w:rPr>
          <w:rStyle w:val="Refdenotaalfinal"/>
        </w:rPr>
        <w:endnoteRef/>
      </w:r>
      <w:r w:rsidR="0018421B">
        <w:t xml:space="preserve"> Ne</w:t>
      </w:r>
      <w:r>
        <w:t>lla nota introduttiva</w:t>
      </w:r>
      <w:r w:rsidR="0018421B">
        <w:t xml:space="preserve">, </w:t>
      </w:r>
      <w:r>
        <w:t xml:space="preserve">Pasqui (p. 26) </w:t>
      </w:r>
      <w:r w:rsidR="006F0588">
        <w:t xml:space="preserve">dichiara di trascrivere il testo del documento da </w:t>
      </w:r>
      <w:r w:rsidR="00802163">
        <w:t>Canonica n. 5, ulteriore copia del privilegio forse redatta alla fine del X secolo</w:t>
      </w:r>
      <w:r w:rsidR="00304F65">
        <w:t>.</w:t>
      </w:r>
      <w:r>
        <w:t xml:space="preserve"> Il controllo degli originali ha </w:t>
      </w:r>
      <w:r w:rsidR="001604BB">
        <w:t>di</w:t>
      </w:r>
      <w:r>
        <w:t xml:space="preserve">mostrato, </w:t>
      </w:r>
      <w:r w:rsidR="003F0941">
        <w:t>tuttavia</w:t>
      </w:r>
      <w:r>
        <w:t xml:space="preserve">, che l’autore aretino diede alle stampe la versione inclusa nel </w:t>
      </w:r>
      <w:r w:rsidRPr="006A4EAD">
        <w:rPr>
          <w:i/>
        </w:rPr>
        <w:t>recto</w:t>
      </w:r>
      <w:r>
        <w:t xml:space="preserve"> della quinta e ultima pergamena del Rotolo n. 3.</w:t>
      </w:r>
    </w:p>
  </w:endnote>
  <w:endnote w:id="5">
    <w:p w14:paraId="769213F6" w14:textId="2292ECAD" w:rsidR="003E703E" w:rsidRDefault="003E703E" w:rsidP="003E703E">
      <w:pPr>
        <w:pStyle w:val="Textonotaalfinal"/>
      </w:pPr>
      <w:r>
        <w:rPr>
          <w:rStyle w:val="Refdenotaalfinal"/>
        </w:rPr>
        <w:t>a</w:t>
      </w:r>
      <w:r w:rsidR="001A2A83">
        <w:t xml:space="preserve"> In </w:t>
      </w:r>
      <w:r>
        <w:t xml:space="preserve">Canonica n. 5, </w:t>
      </w:r>
      <w:r w:rsidR="00332B0E">
        <w:t xml:space="preserve">il documento si apre </w:t>
      </w:r>
      <w:r>
        <w:t xml:space="preserve">con una D a forma di </w:t>
      </w:r>
      <w:r>
        <w:rPr>
          <w:i/>
        </w:rPr>
        <w:t>Chrismon</w:t>
      </w:r>
      <w:r>
        <w:t>, segnalata nell’edizione del Pasqui, (I, p. 26, nota a) che non è presente</w:t>
      </w:r>
      <w:r w:rsidR="00332B0E">
        <w:t xml:space="preserve"> nella copia inclusa nel Rotolo.</w:t>
      </w:r>
    </w:p>
  </w:endnote>
  <w:endnote w:id="6">
    <w:p w14:paraId="4F261D9E" w14:textId="77777777" w:rsidR="00F11087" w:rsidRDefault="00F11087" w:rsidP="00F11087">
      <w:pPr>
        <w:pStyle w:val="Textonotaalfinal"/>
      </w:pPr>
      <w:r>
        <w:rPr>
          <w:rStyle w:val="Refdenotaalfinal"/>
        </w:rPr>
        <w:endnoteRef/>
      </w:r>
      <w:r>
        <w:t xml:space="preserve"> Vescovo di Arezzo (740?-753?), Tafi 1986, pp. 35-36.</w:t>
      </w:r>
    </w:p>
  </w:endnote>
  <w:endnote w:id="7">
    <w:p w14:paraId="044B13C3" w14:textId="77777777" w:rsidR="00F11087" w:rsidRDefault="00F11087" w:rsidP="00F11087">
      <w:pPr>
        <w:pStyle w:val="Textonotaalfinal"/>
      </w:pPr>
      <w:r>
        <w:rPr>
          <w:rStyle w:val="Refdenotaalfinal"/>
        </w:rPr>
        <w:t>b</w:t>
      </w:r>
      <w:r>
        <w:t xml:space="preserve"> In Pasqui “ecclesia”.</w:t>
      </w:r>
    </w:p>
  </w:endnote>
  <w:endnote w:id="8">
    <w:p w14:paraId="4F41DFC1" w14:textId="77777777" w:rsidR="00F11087" w:rsidRDefault="00F11087" w:rsidP="00F11087">
      <w:pPr>
        <w:pStyle w:val="Textonotaalfinal"/>
      </w:pPr>
      <w:r>
        <w:rPr>
          <w:rStyle w:val="Refdenotaalfinal"/>
        </w:rPr>
        <w:t>c</w:t>
      </w:r>
      <w:r>
        <w:t xml:space="preserve"> In Pasqui “precelentissimi”</w:t>
      </w:r>
    </w:p>
  </w:endnote>
  <w:endnote w:id="9">
    <w:p w14:paraId="2D31C6A2" w14:textId="77777777" w:rsidR="00F11087" w:rsidRDefault="00F11087" w:rsidP="00F11087">
      <w:pPr>
        <w:pStyle w:val="Textonotaalfinal"/>
      </w:pPr>
      <w:r>
        <w:rPr>
          <w:rStyle w:val="Refdenotaalfinal"/>
        </w:rPr>
        <w:t>d</w:t>
      </w:r>
      <w:r>
        <w:t xml:space="preserve"> Assente in Pasqui.</w:t>
      </w:r>
    </w:p>
  </w:endnote>
  <w:endnote w:id="10">
    <w:p w14:paraId="699DEE52" w14:textId="77777777" w:rsidR="00F11087" w:rsidRDefault="00F11087" w:rsidP="00F11087">
      <w:pPr>
        <w:pStyle w:val="Textonotaalfinal"/>
      </w:pPr>
      <w:r>
        <w:rPr>
          <w:rStyle w:val="Refdenotaalfinal"/>
        </w:rPr>
        <w:t>e</w:t>
      </w:r>
      <w:r>
        <w:t xml:space="preserve"> In Pasqui “Langobardorum”.</w:t>
      </w:r>
    </w:p>
  </w:endnote>
  <w:endnote w:id="11">
    <w:p w14:paraId="6ACCA5D7" w14:textId="58A11FB5" w:rsidR="00F11087" w:rsidRDefault="00F11087" w:rsidP="00F11087">
      <w:pPr>
        <w:pStyle w:val="Textonotaalfinal"/>
      </w:pPr>
      <w:r>
        <w:rPr>
          <w:rStyle w:val="Refdenotaalfinal"/>
        </w:rPr>
        <w:endnoteRef/>
      </w:r>
      <w:r>
        <w:t xml:space="preserve"> </w:t>
      </w:r>
      <w:r w:rsidR="001F4F53">
        <w:t>V</w:t>
      </w:r>
      <w:r>
        <w:t>es</w:t>
      </w:r>
      <w:r w:rsidR="00891ACA">
        <w:t>covo di Arezzo (711?-720?), Taf</w:t>
      </w:r>
      <w:bookmarkStart w:id="0" w:name="_GoBack"/>
      <w:bookmarkEnd w:id="0"/>
      <w:r>
        <w:t>i 1986, p. 34-35. Viene citato anche in CDL, I, nn. 19 e 20 (715 giugno 20 e 715 luglio 5); CDL, III/1, nn. 12 e 13 (715 marzo 6) e (715 ottobre 14).</w:t>
      </w:r>
    </w:p>
  </w:endnote>
  <w:endnote w:id="12">
    <w:p w14:paraId="48031214" w14:textId="77777777" w:rsidR="00F11087" w:rsidRDefault="00F11087" w:rsidP="00F11087">
      <w:pPr>
        <w:pStyle w:val="Textonotaalfinal"/>
      </w:pPr>
      <w:r>
        <w:rPr>
          <w:rStyle w:val="Refdenotaalfinal"/>
        </w:rPr>
        <w:t>f</w:t>
      </w:r>
      <w:r>
        <w:t xml:space="preserve"> In  Pasqui “sanctae”.</w:t>
      </w:r>
    </w:p>
  </w:endnote>
  <w:endnote w:id="13">
    <w:p w14:paraId="38D9758A" w14:textId="7CD7EDB5" w:rsidR="00F11087" w:rsidRDefault="00F11087" w:rsidP="00F11087">
      <w:pPr>
        <w:pStyle w:val="Textonotaalfinal"/>
      </w:pPr>
      <w:r>
        <w:rPr>
          <w:rStyle w:val="Refdenotaalfinal"/>
        </w:rPr>
        <w:endnoteRef/>
      </w:r>
      <w:r>
        <w:t xml:space="preserve"> Adeodato, cugino del </w:t>
      </w:r>
      <w:r>
        <w:rPr>
          <w:i/>
        </w:rPr>
        <w:t xml:space="preserve">iudex </w:t>
      </w:r>
      <w:r>
        <w:t>regio Godipertus assasinato dagli aretini. Per la notizia dell’uccisione, Rotolo n. 3, pergamena n. III, verso. Adeodato fu eletto vescovo di Siena tra gli anni 713 e 714 poiché, nel 712, la sede senese era vacante, come si può inferire dalla dichiarazione di uno dei testimoni interrogati nell’</w:t>
      </w:r>
      <w:r>
        <w:rPr>
          <w:i/>
        </w:rPr>
        <w:t xml:space="preserve">inquisitio </w:t>
      </w:r>
      <w:r>
        <w:t xml:space="preserve">di Gunteram: </w:t>
      </w:r>
      <w:r>
        <w:rPr>
          <w:rFonts w:eastAsia="Times New Roman"/>
          <w:i/>
        </w:rPr>
        <w:t>Item introductus est Rodoald presbiter senex de baptisterio</w:t>
      </w:r>
      <w:r w:rsidR="00346C02">
        <w:rPr>
          <w:rFonts w:eastAsia="Times New Roman"/>
          <w:i/>
        </w:rPr>
        <w:t xml:space="preserve"> Sancti Quirici et Iohannis in v</w:t>
      </w:r>
      <w:r>
        <w:rPr>
          <w:rFonts w:eastAsia="Times New Roman"/>
          <w:i/>
        </w:rPr>
        <w:t>ico Pallecino, qui interrogatus dixit:</w:t>
      </w:r>
      <w:r w:rsidR="00185954">
        <w:rPr>
          <w:rFonts w:eastAsia="Times New Roman"/>
          <w:i/>
        </w:rPr>
        <w:t xml:space="preserve"> Per ista sancta quattuor Dei ev</w:t>
      </w:r>
      <w:r>
        <w:rPr>
          <w:rFonts w:eastAsia="Times New Roman"/>
          <w:i/>
        </w:rPr>
        <w:t>angelia et ista cr</w:t>
      </w:r>
      <w:r w:rsidR="001749E0">
        <w:rPr>
          <w:rFonts w:eastAsia="Times New Roman"/>
          <w:i/>
        </w:rPr>
        <w:t>ucem Domini, quia cum epistola V</w:t>
      </w:r>
      <w:r>
        <w:rPr>
          <w:rFonts w:eastAsia="Times New Roman"/>
          <w:i/>
        </w:rPr>
        <w:t xml:space="preserve">uarnefrit ambulaui ad Aritio, et per manus Luperciani episcopi sacratus sum, odie annus est tertius, eo quod Sena minime episcopum habebat. </w:t>
      </w:r>
      <w:r>
        <w:t>(CDL, I, n. 19, 715 giugno 20). Il suo pontificato finì attorno all’anno 730. DBI, I, p. 273. Viene citato anche in CDL, I, nn. 19 e 20</w:t>
      </w:r>
      <w:r w:rsidR="00B5240D">
        <w:t xml:space="preserve"> (715 giugno 20 e 715 luglio 5) e</w:t>
      </w:r>
      <w:r>
        <w:t xml:space="preserve"> CDL, III/1, nn. 12 e 13 (715 marzo 6 e 715 ottobre 14). </w:t>
      </w:r>
    </w:p>
  </w:endnote>
  <w:endnote w:id="14">
    <w:p w14:paraId="097EF4AC" w14:textId="160348BE" w:rsidR="00F11087" w:rsidRDefault="00F11087" w:rsidP="00F11087">
      <w:pPr>
        <w:pStyle w:val="Textonotaalfinal"/>
      </w:pPr>
      <w:r>
        <w:rPr>
          <w:rStyle w:val="Refdenotaalfinal"/>
        </w:rPr>
        <w:endnoteRef/>
      </w:r>
      <w:r>
        <w:t xml:space="preserve"> Località Dofana, comune di Castelnuovo Berardenga. Citata anche in CDL, I, nn. 4 e 19, 20 (650 ca., 715 giugno 20, 715 luglio 5); CDL III/1, n. 13 (715 ottobre 15); </w:t>
      </w:r>
      <w:r w:rsidR="00485080" w:rsidRPr="001826B8">
        <w:rPr>
          <w:i/>
        </w:rPr>
        <w:t>ChLA</w:t>
      </w:r>
      <w:r w:rsidR="00485080">
        <w:rPr>
          <w:vertAlign w:val="superscript"/>
        </w:rPr>
        <w:t>2</w:t>
      </w:r>
      <w:r>
        <w:rPr>
          <w:vertAlign w:val="superscript"/>
        </w:rPr>
        <w:t xml:space="preserve">  </w:t>
      </w:r>
      <w:r w:rsidR="001E0B21">
        <w:t>XC, n. 1 (801 marzo 4) e</w:t>
      </w:r>
      <w:r>
        <w:t xml:space="preserve"> </w:t>
      </w:r>
      <w:r w:rsidR="00485080" w:rsidRPr="001826B8">
        <w:rPr>
          <w:i/>
        </w:rPr>
        <w:t>ChLA</w:t>
      </w:r>
      <w:r w:rsidR="00485080">
        <w:rPr>
          <w:vertAlign w:val="superscript"/>
        </w:rPr>
        <w:t>2</w:t>
      </w:r>
      <w:r w:rsidR="009E30AE">
        <w:t>, X</w:t>
      </w:r>
      <w:r>
        <w:t>C, n. 17 (marzo 881).</w:t>
      </w:r>
    </w:p>
  </w:endnote>
  <w:endnote w:id="15">
    <w:p w14:paraId="667D0D2D" w14:textId="77777777" w:rsidR="00F11087" w:rsidRDefault="00F11087" w:rsidP="00F11087">
      <w:pPr>
        <w:pStyle w:val="Textonotaalfinal"/>
      </w:pPr>
      <w:r>
        <w:rPr>
          <w:rStyle w:val="Refdenotaalfinal"/>
        </w:rPr>
        <w:t>g</w:t>
      </w:r>
      <w:r>
        <w:t xml:space="preserve"> In Pasqui “Amsani”.</w:t>
      </w:r>
    </w:p>
  </w:endnote>
  <w:endnote w:id="16">
    <w:p w14:paraId="666F5502" w14:textId="77777777" w:rsidR="00F11087" w:rsidRDefault="00F11087" w:rsidP="00F11087">
      <w:pPr>
        <w:pStyle w:val="Textonotaalfinal"/>
      </w:pPr>
      <w:r>
        <w:rPr>
          <w:rStyle w:val="Refdenotaalfinal"/>
        </w:rPr>
        <w:t>h</w:t>
      </w:r>
      <w:r>
        <w:t xml:space="preserve"> In Pasqui “diocesibus et”.</w:t>
      </w:r>
    </w:p>
  </w:endnote>
  <w:endnote w:id="17">
    <w:p w14:paraId="581D0983" w14:textId="77777777" w:rsidR="00F11087" w:rsidRDefault="00F11087" w:rsidP="00F11087">
      <w:pPr>
        <w:pStyle w:val="Textonotaalfinal"/>
      </w:pPr>
      <w:r>
        <w:rPr>
          <w:rStyle w:val="Refdenotaalfinal"/>
        </w:rPr>
        <w:t>i</w:t>
      </w:r>
      <w:r>
        <w:t xml:space="preserve"> In Pasqui “eiusdem”.</w:t>
      </w:r>
    </w:p>
  </w:endnote>
  <w:endnote w:id="18">
    <w:p w14:paraId="6D02D3FC" w14:textId="77777777" w:rsidR="00F11087" w:rsidRDefault="00F11087" w:rsidP="00F11087">
      <w:pPr>
        <w:pStyle w:val="Textonotaalfinal"/>
      </w:pPr>
      <w:r>
        <w:rPr>
          <w:rStyle w:val="Refdenotaalfinal"/>
        </w:rPr>
        <w:t>j</w:t>
      </w:r>
      <w:r>
        <w:t xml:space="preserve"> In Pasqui “est prenominate”.</w:t>
      </w:r>
    </w:p>
  </w:endnote>
  <w:endnote w:id="19">
    <w:p w14:paraId="208B4BE2" w14:textId="77777777" w:rsidR="00F11087" w:rsidRDefault="00F11087" w:rsidP="00F11087">
      <w:pPr>
        <w:pStyle w:val="Textonotaalfinal"/>
      </w:pPr>
      <w:r>
        <w:rPr>
          <w:rStyle w:val="Refdenotaalfinal"/>
        </w:rPr>
        <w:t>k</w:t>
      </w:r>
      <w:r>
        <w:t xml:space="preserve"> In Pasqui “prefatus”.</w:t>
      </w:r>
    </w:p>
  </w:endnote>
  <w:endnote w:id="20">
    <w:p w14:paraId="1AEACEC8" w14:textId="77777777" w:rsidR="00F11087" w:rsidRDefault="00F11087" w:rsidP="00F11087">
      <w:pPr>
        <w:pStyle w:val="Textonotaalfinal"/>
      </w:pPr>
      <w:r>
        <w:rPr>
          <w:rStyle w:val="Refdenotaalfinal"/>
        </w:rPr>
        <w:t>l</w:t>
      </w:r>
      <w:r>
        <w:t xml:space="preserve"> In Pasqui “tunc”.</w:t>
      </w:r>
    </w:p>
  </w:endnote>
  <w:endnote w:id="21">
    <w:p w14:paraId="17674A53" w14:textId="77777777" w:rsidR="006F1FD0" w:rsidRDefault="006F1FD0" w:rsidP="006F1FD0">
      <w:pPr>
        <w:pStyle w:val="Textonotaalfinal"/>
      </w:pPr>
      <w:r>
        <w:rPr>
          <w:rStyle w:val="Refdenotaalfinal"/>
        </w:rPr>
        <w:t>m</w:t>
      </w:r>
      <w:r>
        <w:t xml:space="preserve"> CDL, III/1, nn. 12 e 13 (715 marzo 6) e (715 ottobre 14).</w:t>
      </w:r>
    </w:p>
  </w:endnote>
  <w:endnote w:id="22">
    <w:p w14:paraId="0001A7B5" w14:textId="77777777" w:rsidR="00F11087" w:rsidRDefault="00F11087" w:rsidP="00F11087">
      <w:pPr>
        <w:pStyle w:val="Textonotaalfinal"/>
      </w:pPr>
      <w:r>
        <w:rPr>
          <w:rStyle w:val="Refdenotaalfinal"/>
        </w:rPr>
        <w:t>n</w:t>
      </w:r>
      <w:r>
        <w:t xml:space="preserve"> In Pasqui “sunt”.</w:t>
      </w:r>
    </w:p>
  </w:endnote>
  <w:endnote w:id="23">
    <w:p w14:paraId="5A8B69A0" w14:textId="77777777" w:rsidR="00F11087" w:rsidRDefault="00F11087" w:rsidP="00F11087">
      <w:pPr>
        <w:pStyle w:val="Textonotaalfinal"/>
      </w:pPr>
      <w:r>
        <w:rPr>
          <w:rStyle w:val="Refdenotaalfinal"/>
        </w:rPr>
        <w:t>o</w:t>
      </w:r>
      <w:r>
        <w:t xml:space="preserve"> In Pasqui “Amsani”.</w:t>
      </w:r>
    </w:p>
  </w:endnote>
  <w:endnote w:id="24">
    <w:p w14:paraId="315FF2AC" w14:textId="77777777" w:rsidR="00F11087" w:rsidRDefault="00F11087" w:rsidP="00F11087">
      <w:pPr>
        <w:pStyle w:val="Textonotaalfinal"/>
      </w:pPr>
      <w:r>
        <w:rPr>
          <w:rStyle w:val="Refdenotaalfinal"/>
        </w:rPr>
        <w:t>p</w:t>
      </w:r>
      <w:r>
        <w:t xml:space="preserve"> In Pasqui “inieste”.</w:t>
      </w:r>
    </w:p>
  </w:endnote>
  <w:endnote w:id="25">
    <w:p w14:paraId="48ED8621" w14:textId="77777777" w:rsidR="00F11087" w:rsidRDefault="00F11087" w:rsidP="00F11087">
      <w:pPr>
        <w:pStyle w:val="Textonotaalfinal"/>
      </w:pPr>
      <w:r>
        <w:rPr>
          <w:rStyle w:val="Refdenotaalfinal"/>
        </w:rPr>
        <w:t>q</w:t>
      </w:r>
      <w:r>
        <w:t xml:space="preserve"> In Pasqui “Amsani”.</w:t>
      </w:r>
    </w:p>
  </w:endnote>
  <w:endnote w:id="26">
    <w:p w14:paraId="5B3F6B11" w14:textId="77777777" w:rsidR="00F11087" w:rsidRDefault="00F11087" w:rsidP="00F11087">
      <w:pPr>
        <w:pStyle w:val="Textonotaalfinal"/>
      </w:pPr>
      <w:r>
        <w:rPr>
          <w:rStyle w:val="Refdenotaalfinal"/>
        </w:rPr>
        <w:endnoteRef/>
      </w:r>
      <w:r>
        <w:t xml:space="preserve"> Zaccaria papa (10 dicembre 741-15 marzo 752). Su questo particolare si veda Delumeau 1996, p. 477.</w:t>
      </w:r>
    </w:p>
  </w:endnote>
  <w:endnote w:id="27">
    <w:p w14:paraId="2AFB452B" w14:textId="77777777" w:rsidR="00F11087" w:rsidRDefault="00F11087" w:rsidP="00F11087">
      <w:pPr>
        <w:pStyle w:val="Textonotaalfinal"/>
        <w:rPr>
          <w:b/>
        </w:rPr>
      </w:pPr>
      <w:r>
        <w:rPr>
          <w:rStyle w:val="Refdenotaalfinal"/>
        </w:rPr>
        <w:t>r</w:t>
      </w:r>
      <w:r>
        <w:t xml:space="preserve"> Si desiderano.</w:t>
      </w:r>
    </w:p>
  </w:endnote>
  <w:endnote w:id="28">
    <w:p w14:paraId="04993BDF" w14:textId="77777777" w:rsidR="00F11087" w:rsidRDefault="00F11087" w:rsidP="00F11087">
      <w:pPr>
        <w:pStyle w:val="Textonotaalfinal"/>
      </w:pPr>
      <w:r>
        <w:rPr>
          <w:rStyle w:val="Refdenotaalfinal"/>
        </w:rPr>
        <w:t>s</w:t>
      </w:r>
      <w:r>
        <w:t xml:space="preserve"> In Pasqui “iudicio”.</w:t>
      </w:r>
    </w:p>
  </w:endnote>
  <w:endnote w:id="29">
    <w:p w14:paraId="059A84CD" w14:textId="77777777" w:rsidR="00F11087" w:rsidRDefault="00F11087" w:rsidP="00F11087">
      <w:pPr>
        <w:pStyle w:val="Textonotaalfinal"/>
      </w:pPr>
      <w:r>
        <w:rPr>
          <w:rStyle w:val="Refdenotaalfinal"/>
        </w:rPr>
        <w:t>t</w:t>
      </w:r>
      <w:r>
        <w:t xml:space="preserve"> Assente in Pasqui.</w:t>
      </w:r>
    </w:p>
  </w:endnote>
  <w:endnote w:id="30">
    <w:p w14:paraId="13E55516" w14:textId="77777777" w:rsidR="00F11087" w:rsidRDefault="00F11087" w:rsidP="00F11087">
      <w:pPr>
        <w:pStyle w:val="Textonotaalfinal"/>
      </w:pPr>
      <w:r>
        <w:rPr>
          <w:rStyle w:val="Refdenotaalfinal"/>
        </w:rPr>
        <w:endnoteRef/>
      </w:r>
      <w:r>
        <w:t xml:space="preserve"> Città di Castello</w:t>
      </w:r>
    </w:p>
  </w:endnote>
  <w:endnote w:id="31">
    <w:p w14:paraId="5FFDF1B3" w14:textId="77777777" w:rsidR="00F11087" w:rsidRDefault="00F11087" w:rsidP="00F11087">
      <w:pPr>
        <w:pStyle w:val="Textonotaalfinal"/>
      </w:pPr>
      <w:r>
        <w:rPr>
          <w:rStyle w:val="Refdenotaalfinal"/>
        </w:rPr>
        <w:t>u</w:t>
      </w:r>
      <w:r>
        <w:t xml:space="preserve"> Si desidera. Pasqui pubblicò come n. 10 della sua raccolta il solo regesto, segnalando come il documento non esistesse più e datandolo attorno all’anno 750, Pasqui 1899, p. 26.</w:t>
      </w:r>
    </w:p>
  </w:endnote>
  <w:endnote w:id="32">
    <w:p w14:paraId="2C2E4F86" w14:textId="77777777" w:rsidR="00F11087" w:rsidRDefault="00F11087" w:rsidP="00F11087">
      <w:pPr>
        <w:pStyle w:val="Textonotaalfinal"/>
      </w:pPr>
      <w:r>
        <w:rPr>
          <w:rStyle w:val="Refdenotaalfinal"/>
        </w:rPr>
        <w:t>v</w:t>
      </w:r>
      <w:r>
        <w:t xml:space="preserve"> In Pasqui “est”.</w:t>
      </w:r>
    </w:p>
  </w:endnote>
  <w:endnote w:id="33">
    <w:p w14:paraId="07AD85F3" w14:textId="77777777" w:rsidR="00F11087" w:rsidRDefault="00F11087" w:rsidP="00F11087">
      <w:pPr>
        <w:pStyle w:val="Textonotaalfinal"/>
      </w:pPr>
      <w:r>
        <w:rPr>
          <w:rStyle w:val="Refdenotaalfinal"/>
        </w:rPr>
        <w:t>w</w:t>
      </w:r>
      <w:r>
        <w:t xml:space="preserve"> In Pasqui “Gauspert”.</w:t>
      </w:r>
    </w:p>
  </w:endnote>
  <w:endnote w:id="34">
    <w:p w14:paraId="26F86C95" w14:textId="77777777" w:rsidR="00F11087" w:rsidRDefault="00F11087" w:rsidP="00F11087">
      <w:pPr>
        <w:pStyle w:val="Textonotaalfinal"/>
      </w:pPr>
      <w:r>
        <w:rPr>
          <w:rStyle w:val="Refdenotaalfinal"/>
        </w:rPr>
        <w:t>x</w:t>
      </w:r>
      <w:r>
        <w:t xml:space="preserve"> In Pasqui “gastaldius”.</w:t>
      </w:r>
    </w:p>
  </w:endnote>
  <w:endnote w:id="35">
    <w:p w14:paraId="236A578A" w14:textId="77777777" w:rsidR="00F11087" w:rsidRDefault="00F11087" w:rsidP="00F11087">
      <w:pPr>
        <w:pStyle w:val="Textonotaalfinal"/>
      </w:pPr>
      <w:r>
        <w:rPr>
          <w:rStyle w:val="Refdenotaalfinal"/>
        </w:rPr>
        <w:t>y</w:t>
      </w:r>
      <w:r>
        <w:t xml:space="preserve"> Si desidera.</w:t>
      </w:r>
    </w:p>
  </w:endnote>
  <w:endnote w:id="36">
    <w:p w14:paraId="41AD0094" w14:textId="77777777" w:rsidR="00F11087" w:rsidRDefault="00F11087" w:rsidP="00F11087">
      <w:pPr>
        <w:pStyle w:val="Textonotaalfinal"/>
      </w:pPr>
      <w:r>
        <w:rPr>
          <w:rStyle w:val="Refdenotaalfinal"/>
        </w:rPr>
        <w:t>z</w:t>
      </w:r>
      <w:r>
        <w:t xml:space="preserve"> In Pasqui “iusto”.</w:t>
      </w:r>
    </w:p>
  </w:endnote>
  <w:endnote w:id="37">
    <w:p w14:paraId="24FC177E" w14:textId="7468101B" w:rsidR="00F11087" w:rsidRDefault="00F11087" w:rsidP="00F11087">
      <w:pPr>
        <w:pStyle w:val="Textonotaalfinal"/>
      </w:pPr>
      <w:r>
        <w:rPr>
          <w:rStyle w:val="Refdenotaalfinal"/>
        </w:rPr>
        <w:t>aa</w:t>
      </w:r>
      <w:r>
        <w:t xml:space="preserve"> Assente in Pa</w:t>
      </w:r>
      <w:r w:rsidR="00853D8C">
        <w:t>s</w:t>
      </w:r>
      <w:r>
        <w:t>qui.</w:t>
      </w:r>
    </w:p>
  </w:endnote>
  <w:endnote w:id="38">
    <w:p w14:paraId="761DFB8F" w14:textId="77777777" w:rsidR="00F11087" w:rsidRDefault="00F11087" w:rsidP="00F11087">
      <w:pPr>
        <w:pStyle w:val="Textonotaalfinal"/>
      </w:pPr>
      <w:r>
        <w:rPr>
          <w:rStyle w:val="Refdenotaalfinal"/>
        </w:rPr>
        <w:t>ab</w:t>
      </w:r>
      <w:r>
        <w:t xml:space="preserve"> In Pasqui “coronato”.</w:t>
      </w:r>
    </w:p>
  </w:endnote>
  <w:endnote w:id="39">
    <w:p w14:paraId="7748A564" w14:textId="77777777" w:rsidR="00F11087" w:rsidRDefault="00F11087" w:rsidP="00F11087">
      <w:pPr>
        <w:pStyle w:val="Textonotaalfinal"/>
      </w:pPr>
      <w:r>
        <w:rPr>
          <w:rStyle w:val="Refdenotaalfinal"/>
        </w:rPr>
        <w:t>ac</w:t>
      </w:r>
      <w:r>
        <w:t xml:space="preserve"> In Pasqui “trigesimo”.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C5780" w14:textId="77777777" w:rsidR="00F11087" w:rsidRDefault="00F11087" w:rsidP="00F11087">
      <w:r>
        <w:separator/>
      </w:r>
    </w:p>
  </w:footnote>
  <w:footnote w:type="continuationSeparator" w:id="0">
    <w:p w14:paraId="45FA8212" w14:textId="77777777" w:rsidR="00F11087" w:rsidRDefault="00F11087" w:rsidP="00F110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087"/>
    <w:rsid w:val="000103F6"/>
    <w:rsid w:val="000324C3"/>
    <w:rsid w:val="00084859"/>
    <w:rsid w:val="000D4438"/>
    <w:rsid w:val="0010370E"/>
    <w:rsid w:val="00121B57"/>
    <w:rsid w:val="001604BB"/>
    <w:rsid w:val="001605CA"/>
    <w:rsid w:val="001749E0"/>
    <w:rsid w:val="0018421B"/>
    <w:rsid w:val="00185954"/>
    <w:rsid w:val="001A2A83"/>
    <w:rsid w:val="001E0B21"/>
    <w:rsid w:val="001F4F53"/>
    <w:rsid w:val="001F59EF"/>
    <w:rsid w:val="002236DF"/>
    <w:rsid w:val="00223FD1"/>
    <w:rsid w:val="00224F64"/>
    <w:rsid w:val="002C13BC"/>
    <w:rsid w:val="002F482A"/>
    <w:rsid w:val="00304F65"/>
    <w:rsid w:val="00332B0E"/>
    <w:rsid w:val="00346C02"/>
    <w:rsid w:val="00357175"/>
    <w:rsid w:val="00397B98"/>
    <w:rsid w:val="003E703E"/>
    <w:rsid w:val="003F0941"/>
    <w:rsid w:val="00400C3F"/>
    <w:rsid w:val="004465DA"/>
    <w:rsid w:val="00485080"/>
    <w:rsid w:val="004E6504"/>
    <w:rsid w:val="00551D96"/>
    <w:rsid w:val="0056244D"/>
    <w:rsid w:val="00564493"/>
    <w:rsid w:val="00565D2A"/>
    <w:rsid w:val="005C23F5"/>
    <w:rsid w:val="005E5D31"/>
    <w:rsid w:val="00600A15"/>
    <w:rsid w:val="00615E6C"/>
    <w:rsid w:val="00617C08"/>
    <w:rsid w:val="006429B4"/>
    <w:rsid w:val="00657CED"/>
    <w:rsid w:val="00685511"/>
    <w:rsid w:val="006A4EAD"/>
    <w:rsid w:val="006A7D43"/>
    <w:rsid w:val="006F0588"/>
    <w:rsid w:val="006F1FD0"/>
    <w:rsid w:val="006F422E"/>
    <w:rsid w:val="00704439"/>
    <w:rsid w:val="007074B7"/>
    <w:rsid w:val="00733CE4"/>
    <w:rsid w:val="00764D54"/>
    <w:rsid w:val="00765D83"/>
    <w:rsid w:val="00796F90"/>
    <w:rsid w:val="00802163"/>
    <w:rsid w:val="00810B26"/>
    <w:rsid w:val="00853D8C"/>
    <w:rsid w:val="00891ACA"/>
    <w:rsid w:val="008A3C07"/>
    <w:rsid w:val="00927601"/>
    <w:rsid w:val="00943430"/>
    <w:rsid w:val="00981337"/>
    <w:rsid w:val="009C235C"/>
    <w:rsid w:val="009E30AE"/>
    <w:rsid w:val="00A35543"/>
    <w:rsid w:val="00A666ED"/>
    <w:rsid w:val="00AC5A2F"/>
    <w:rsid w:val="00B5240D"/>
    <w:rsid w:val="00B61059"/>
    <w:rsid w:val="00B67475"/>
    <w:rsid w:val="00BC12AD"/>
    <w:rsid w:val="00C3106C"/>
    <w:rsid w:val="00C4521C"/>
    <w:rsid w:val="00CA1662"/>
    <w:rsid w:val="00CA5766"/>
    <w:rsid w:val="00CC21FE"/>
    <w:rsid w:val="00D45E59"/>
    <w:rsid w:val="00D50028"/>
    <w:rsid w:val="00D6274E"/>
    <w:rsid w:val="00DC4B95"/>
    <w:rsid w:val="00E036CF"/>
    <w:rsid w:val="00E45FC2"/>
    <w:rsid w:val="00E73F8E"/>
    <w:rsid w:val="00E74C6D"/>
    <w:rsid w:val="00E87CB7"/>
    <w:rsid w:val="00F11087"/>
    <w:rsid w:val="00F15507"/>
    <w:rsid w:val="00F5098D"/>
    <w:rsid w:val="00F950C9"/>
    <w:rsid w:val="00FA5FC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9785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087"/>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F11087"/>
    <w:pPr>
      <w:jc w:val="both"/>
    </w:pPr>
    <w:rPr>
      <w:rFonts w:ascii="Times New Roman" w:hAnsi="Times New Roman"/>
      <w:sz w:val="20"/>
    </w:rPr>
  </w:style>
  <w:style w:type="character" w:customStyle="1" w:styleId="TextonotaalfinalCar">
    <w:name w:val="Texto nota al final Car"/>
    <w:basedOn w:val="Fuentedeprrafopredeter"/>
    <w:link w:val="Textonotaalfinal"/>
    <w:rsid w:val="00F11087"/>
    <w:rPr>
      <w:rFonts w:ascii="Times New Roman" w:eastAsia="Times" w:hAnsi="Times New Roman" w:cs="Times New Roman"/>
      <w:noProof/>
      <w:sz w:val="20"/>
      <w:szCs w:val="20"/>
    </w:rPr>
  </w:style>
  <w:style w:type="character" w:styleId="Refdenotaalfinal">
    <w:name w:val="endnote reference"/>
    <w:basedOn w:val="Fuentedeprrafopredeter"/>
    <w:rsid w:val="00F11087"/>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087"/>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F11087"/>
    <w:pPr>
      <w:jc w:val="both"/>
    </w:pPr>
    <w:rPr>
      <w:rFonts w:ascii="Times New Roman" w:hAnsi="Times New Roman"/>
      <w:sz w:val="20"/>
    </w:rPr>
  </w:style>
  <w:style w:type="character" w:customStyle="1" w:styleId="TextonotaalfinalCar">
    <w:name w:val="Texto nota al final Car"/>
    <w:basedOn w:val="Fuentedeprrafopredeter"/>
    <w:link w:val="Textonotaalfinal"/>
    <w:rsid w:val="00F11087"/>
    <w:rPr>
      <w:rFonts w:ascii="Times New Roman" w:eastAsia="Times" w:hAnsi="Times New Roman" w:cs="Times New Roman"/>
      <w:noProof/>
      <w:sz w:val="20"/>
      <w:szCs w:val="20"/>
    </w:rPr>
  </w:style>
  <w:style w:type="character" w:styleId="Refdenotaalfinal">
    <w:name w:val="endnote reference"/>
    <w:basedOn w:val="Fuentedeprrafopredeter"/>
    <w:rsid w:val="00F110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620</Words>
  <Characters>3413</Characters>
  <Application>Microsoft Macintosh Word</Application>
  <DocSecurity>0</DocSecurity>
  <Lines>28</Lines>
  <Paragraphs>8</Paragraphs>
  <ScaleCrop>false</ScaleCrop>
  <Company>casita</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111</cp:revision>
  <dcterms:created xsi:type="dcterms:W3CDTF">2015-10-12T11:41:00Z</dcterms:created>
  <dcterms:modified xsi:type="dcterms:W3CDTF">2015-12-18T10:53:00Z</dcterms:modified>
</cp:coreProperties>
</file>