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F7B422" w14:textId="0922F37F" w:rsidR="00904194" w:rsidRDefault="00430439" w:rsidP="00904194">
      <w:pPr>
        <w:jc w:val="center"/>
        <w:rPr>
          <w:rFonts w:ascii="Times New Roman" w:hAnsi="Times New Roman"/>
        </w:rPr>
      </w:pPr>
      <w:r>
        <w:rPr>
          <w:rFonts w:ascii="Times New Roman" w:hAnsi="Times New Roman"/>
        </w:rPr>
        <w:t xml:space="preserve"> </w:t>
      </w:r>
    </w:p>
    <w:p w14:paraId="79C64301" w14:textId="654E76EF" w:rsidR="00904194" w:rsidRDefault="00904194" w:rsidP="00904194">
      <w:pPr>
        <w:jc w:val="center"/>
        <w:rPr>
          <w:rFonts w:ascii="Times New Roman" w:hAnsi="Times New Roman"/>
          <w:i/>
        </w:rPr>
      </w:pPr>
      <w:r>
        <w:rPr>
          <w:rFonts w:ascii="Times New Roman" w:hAnsi="Times New Roman"/>
        </w:rPr>
        <w:t>715 ottobre 14</w:t>
      </w:r>
      <w:r w:rsidR="00013627">
        <w:rPr>
          <w:rStyle w:val="Refdenotaalfinal"/>
          <w:rFonts w:ascii="Times New Roman" w:hAnsi="Times New Roman"/>
        </w:rPr>
        <w:endnoteReference w:id="1"/>
      </w:r>
      <w:r>
        <w:rPr>
          <w:rFonts w:ascii="Times New Roman" w:hAnsi="Times New Roman"/>
        </w:rPr>
        <w:t xml:space="preserve">, [Pavia], </w:t>
      </w:r>
      <w:r>
        <w:rPr>
          <w:rFonts w:ascii="Times New Roman" w:hAnsi="Times New Roman"/>
          <w:i/>
        </w:rPr>
        <w:t>in palatio</w:t>
      </w:r>
      <w:r w:rsidR="005A7194">
        <w:rPr>
          <w:rStyle w:val="Refdenotaalfinal"/>
        </w:rPr>
        <w:endnoteReference w:id="2"/>
      </w:r>
    </w:p>
    <w:p w14:paraId="46058894" w14:textId="77777777" w:rsidR="00904194" w:rsidRDefault="00904194" w:rsidP="00904194">
      <w:pPr>
        <w:jc w:val="center"/>
        <w:rPr>
          <w:rFonts w:ascii="Times New Roman" w:hAnsi="Times New Roman"/>
        </w:rPr>
      </w:pPr>
    </w:p>
    <w:p w14:paraId="5D55827C" w14:textId="1F986EB6" w:rsidR="00904194" w:rsidRDefault="00904194" w:rsidP="00904194">
      <w:pPr>
        <w:jc w:val="both"/>
        <w:rPr>
          <w:rFonts w:ascii="Times New Roman" w:hAnsi="Times New Roman"/>
        </w:rPr>
      </w:pPr>
      <w:r>
        <w:rPr>
          <w:rFonts w:ascii="Times New Roman" w:hAnsi="Times New Roman"/>
        </w:rPr>
        <w:t>Liutprandus re conferma il giudicato dei vescovi Teodaldus di Fiesole, Maximus di Pisa, Spetiosus di Firenze e Tales</w:t>
      </w:r>
      <w:r w:rsidR="005F0C58">
        <w:rPr>
          <w:rFonts w:ascii="Times New Roman" w:hAnsi="Times New Roman"/>
        </w:rPr>
        <w:t xml:space="preserve">priano di Lucca in favore del </w:t>
      </w:r>
      <w:r>
        <w:rPr>
          <w:rFonts w:ascii="Times New Roman" w:hAnsi="Times New Roman"/>
        </w:rPr>
        <w:t>vescovo</w:t>
      </w:r>
      <w:r w:rsidR="005F0C58">
        <w:rPr>
          <w:rFonts w:ascii="Times New Roman" w:hAnsi="Times New Roman"/>
        </w:rPr>
        <w:t xml:space="preserve"> di Arezzo</w:t>
      </w:r>
      <w:r>
        <w:rPr>
          <w:rFonts w:ascii="Times New Roman" w:hAnsi="Times New Roman"/>
        </w:rPr>
        <w:t xml:space="preserve"> Luperti</w:t>
      </w:r>
      <w:r w:rsidR="00D40F75">
        <w:rPr>
          <w:rFonts w:ascii="Times New Roman" w:hAnsi="Times New Roman"/>
        </w:rPr>
        <w:t>anus, con c</w:t>
      </w:r>
      <w:r w:rsidR="00446664">
        <w:rPr>
          <w:rFonts w:ascii="Times New Roman" w:hAnsi="Times New Roman"/>
        </w:rPr>
        <w:t>ui si riconosceva alla chiesa aretina</w:t>
      </w:r>
      <w:r>
        <w:rPr>
          <w:rFonts w:ascii="Times New Roman" w:hAnsi="Times New Roman"/>
        </w:rPr>
        <w:t xml:space="preserve"> il possesso di alcune</w:t>
      </w:r>
      <w:r w:rsidR="00862655">
        <w:rPr>
          <w:rFonts w:ascii="Times New Roman" w:hAnsi="Times New Roman"/>
        </w:rPr>
        <w:t xml:space="preserve"> pievi e monasteri posti nel </w:t>
      </w:r>
      <w:r w:rsidR="00862655">
        <w:rPr>
          <w:rFonts w:ascii="Times New Roman" w:hAnsi="Times New Roman"/>
          <w:i/>
        </w:rPr>
        <w:t xml:space="preserve">territorium </w:t>
      </w:r>
      <w:r w:rsidR="00862655">
        <w:rPr>
          <w:rFonts w:ascii="Times New Roman" w:hAnsi="Times New Roman"/>
        </w:rPr>
        <w:t>senese.</w:t>
      </w:r>
    </w:p>
    <w:p w14:paraId="347BBE64" w14:textId="77777777" w:rsidR="00904194" w:rsidRDefault="00904194" w:rsidP="00904194">
      <w:pPr>
        <w:jc w:val="center"/>
        <w:rPr>
          <w:rFonts w:ascii="Times New Roman" w:hAnsi="Times New Roman"/>
        </w:rPr>
      </w:pPr>
    </w:p>
    <w:p w14:paraId="0A43D906" w14:textId="77777777" w:rsidR="00904194" w:rsidRDefault="00904194" w:rsidP="0090419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r>
        <w:rPr>
          <w:rFonts w:ascii="Times New Roman" w:eastAsia="Times New Roman" w:hAnsi="Times New Roman"/>
        </w:rPr>
        <w:t>Copia, seconda metà IX secolo - prima metà XI secolo</w:t>
      </w:r>
      <w:r>
        <w:rPr>
          <w:rStyle w:val="Refdenotaalfinal"/>
          <w:rFonts w:eastAsia="Times New Roman"/>
        </w:rPr>
        <w:t xml:space="preserve"> </w:t>
      </w:r>
      <w:r>
        <w:rPr>
          <w:rStyle w:val="Refdenotaalfinal"/>
          <w:rFonts w:eastAsia="Times New Roman"/>
        </w:rPr>
        <w:endnoteReference w:id="3"/>
      </w:r>
      <w:r>
        <w:rPr>
          <w:rFonts w:ascii="Times New Roman" w:eastAsia="Times New Roman" w:hAnsi="Times New Roman"/>
        </w:rPr>
        <w:t xml:space="preserve">. </w:t>
      </w:r>
    </w:p>
    <w:p w14:paraId="67E974B9" w14:textId="77777777" w:rsidR="00904194" w:rsidRDefault="00904194" w:rsidP="0090419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r>
        <w:rPr>
          <w:rFonts w:ascii="Times New Roman" w:eastAsia="Times New Roman" w:hAnsi="Times New Roman"/>
        </w:rPr>
        <w:t>Archivio Storico Diocesano di Arezzo. Carte della Canonica, n. 3 [B]</w:t>
      </w:r>
      <w:r>
        <w:rPr>
          <w:rStyle w:val="Refdenotaalfinal"/>
        </w:rPr>
        <w:endnoteReference w:customMarkFollows="1" w:id="4"/>
        <w:t>*</w:t>
      </w:r>
      <w:r>
        <w:rPr>
          <w:rFonts w:ascii="Times New Roman" w:hAnsi="Times New Roman"/>
        </w:rPr>
        <w:t>.</w:t>
      </w:r>
    </w:p>
    <w:p w14:paraId="022FCA3B" w14:textId="77777777" w:rsidR="00904194" w:rsidRDefault="00904194" w:rsidP="00904194">
      <w:pPr>
        <w:jc w:val="both"/>
        <w:rPr>
          <w:rFonts w:ascii="Times New Roman" w:eastAsia="Times New Roman" w:hAnsi="Times New Roman"/>
        </w:rPr>
      </w:pPr>
    </w:p>
    <w:p w14:paraId="7E6DF7EC" w14:textId="7957BE28" w:rsidR="00904194" w:rsidRDefault="00904194" w:rsidP="00904194">
      <w:pPr>
        <w:jc w:val="both"/>
        <w:rPr>
          <w:rFonts w:ascii="Times New Roman" w:eastAsia="Times New Roman" w:hAnsi="Times New Roman"/>
        </w:rPr>
      </w:pPr>
      <w:r>
        <w:rPr>
          <w:rFonts w:ascii="Times New Roman" w:eastAsia="Times New Roman" w:hAnsi="Times New Roman"/>
        </w:rPr>
        <w:t xml:space="preserve">Edizione: </w:t>
      </w:r>
      <w:r w:rsidR="000972C4">
        <w:rPr>
          <w:rFonts w:ascii="Times New Roman" w:eastAsia="Times New Roman" w:hAnsi="Times New Roman"/>
        </w:rPr>
        <w:t>Brühl</w:t>
      </w:r>
      <w:r>
        <w:rPr>
          <w:rFonts w:ascii="Times New Roman" w:eastAsia="Times New Roman" w:hAnsi="Times New Roman"/>
        </w:rPr>
        <w:t>, CDL, III/1 n. 13</w:t>
      </w:r>
    </w:p>
    <w:p w14:paraId="5BCD054E" w14:textId="77777777" w:rsidR="00904194" w:rsidRDefault="00904194" w:rsidP="00904194">
      <w:pPr>
        <w:jc w:val="both"/>
        <w:rPr>
          <w:rFonts w:ascii="Times New Roman" w:eastAsia="Times New Roman" w:hAnsi="Times New Roman"/>
        </w:rPr>
      </w:pPr>
    </w:p>
    <w:p w14:paraId="635179BE" w14:textId="77777777" w:rsidR="00904194" w:rsidRDefault="00904194" w:rsidP="00904194">
      <w:pPr>
        <w:jc w:val="both"/>
        <w:rPr>
          <w:rFonts w:ascii="Times New Roman" w:eastAsia="Times New Roman" w:hAnsi="Times New Roman"/>
        </w:rPr>
      </w:pPr>
    </w:p>
    <w:p w14:paraId="47B86A41" w14:textId="77777777" w:rsidR="00904194" w:rsidRDefault="00904194" w:rsidP="00904194">
      <w:pPr>
        <w:jc w:val="both"/>
        <w:rPr>
          <w:rFonts w:ascii="Times New Roman" w:eastAsia="Times New Roman" w:hAnsi="Times New Roman"/>
        </w:rPr>
      </w:pPr>
      <w:r>
        <w:rPr>
          <w:rFonts w:ascii="Times New Roman" w:eastAsia="Times New Roman" w:hAnsi="Times New Roman"/>
        </w:rPr>
        <w:t>EDICTUM</w:t>
      </w:r>
      <w:r>
        <w:rPr>
          <w:rStyle w:val="Refdenotaalfinal"/>
          <w:rFonts w:eastAsia="Times New Roman"/>
        </w:rPr>
        <w:endnoteReference w:customMarkFollows="1" w:id="5"/>
        <w:t>a</w:t>
      </w:r>
      <w:r>
        <w:rPr>
          <w:rFonts w:ascii="Times New Roman" w:eastAsia="Times New Roman" w:hAnsi="Times New Roman"/>
        </w:rPr>
        <w:t xml:space="preserve"> ET MAGNA CONSTITUTIO DOMNI LIUTPRANDI REGIS POST IUDICATUM EPISCOPORUM</w:t>
      </w:r>
      <w:r>
        <w:rPr>
          <w:rStyle w:val="Refdenotaalfinal"/>
          <w:rFonts w:eastAsia="Times New Roman"/>
        </w:rPr>
        <w:endnoteReference w:customMarkFollows="1" w:id="6"/>
        <w:t>b</w:t>
      </w:r>
    </w:p>
    <w:p w14:paraId="08D11F9A" w14:textId="3A471BF7" w:rsidR="00904194" w:rsidRDefault="00904194" w:rsidP="00904194">
      <w:pPr>
        <w:jc w:val="both"/>
        <w:rPr>
          <w:rFonts w:ascii="Times New Roman" w:eastAsia="Times New Roman" w:hAnsi="Times New Roman"/>
        </w:rPr>
      </w:pPr>
      <w:r>
        <w:rPr>
          <w:rFonts w:ascii="Times New Roman" w:eastAsia="Times New Roman" w:hAnsi="Times New Roman"/>
        </w:rPr>
        <w:t>Flavius Liutprandus percellentissimus rex. Sancte catholice Aretine aecclesie, in qua corpus Christi confessoris et martiris quiescit Donati</w:t>
      </w:r>
      <w:r>
        <w:rPr>
          <w:rStyle w:val="Refdenotaalfinal"/>
          <w:rFonts w:eastAsia="Times New Roman"/>
        </w:rPr>
        <w:endnoteReference w:customMarkFollows="1" w:id="7"/>
        <w:t>c</w:t>
      </w:r>
      <w:r>
        <w:rPr>
          <w:rFonts w:ascii="Times New Roman" w:eastAsia="Times New Roman" w:hAnsi="Times New Roman"/>
        </w:rPr>
        <w:t>, et beatissimo viro, patri nostro, Lupertiano</w:t>
      </w:r>
      <w:r>
        <w:rPr>
          <w:rStyle w:val="Refdenotaalfinal"/>
          <w:rFonts w:eastAsia="Times New Roman"/>
        </w:rPr>
        <w:endnoteReference w:id="8"/>
      </w:r>
      <w:r>
        <w:rPr>
          <w:rFonts w:ascii="Times New Roman" w:eastAsia="Times New Roman" w:hAnsi="Times New Roman"/>
        </w:rPr>
        <w:t xml:space="preserve"> episcopo. Dum intentio horta fuisset inter suprascriptum</w:t>
      </w:r>
      <w:r>
        <w:rPr>
          <w:rStyle w:val="Refdenotaalfinal"/>
          <w:rFonts w:eastAsia="Times New Roman"/>
        </w:rPr>
        <w:endnoteReference w:customMarkFollows="1" w:id="9"/>
        <w:t>d</w:t>
      </w:r>
      <w:r>
        <w:rPr>
          <w:rFonts w:ascii="Times New Roman" w:eastAsia="Times New Roman" w:hAnsi="Times New Roman"/>
        </w:rPr>
        <w:t>, Lupertianum episcopum et Adeodatum</w:t>
      </w:r>
      <w:r>
        <w:rPr>
          <w:rStyle w:val="Refdenotaalfinal"/>
          <w:rFonts w:eastAsia="Times New Roman"/>
        </w:rPr>
        <w:endnoteReference w:id="10"/>
      </w:r>
      <w:r>
        <w:rPr>
          <w:rFonts w:ascii="Times New Roman" w:eastAsia="Times New Roman" w:hAnsi="Times New Roman"/>
        </w:rPr>
        <w:t>, sancte Senensis ecclesie idemque episcopum, de diocesis, ecclesias et monasteria atque oracula in Senense territorio constituta, idest in primis monasterio Sancti Ampsi</w:t>
      </w:r>
      <w:r>
        <w:rPr>
          <w:rStyle w:val="Refdenotaalfinal"/>
          <w:rFonts w:eastAsia="Times New Roman"/>
        </w:rPr>
        <w:endnoteReference w:id="11"/>
      </w:r>
      <w:r>
        <w:rPr>
          <w:rFonts w:ascii="Times New Roman" w:eastAsia="Times New Roman" w:hAnsi="Times New Roman"/>
        </w:rPr>
        <w:t>, baptisterio Sancti Stephani in Acciano</w:t>
      </w:r>
      <w:r>
        <w:rPr>
          <w:rStyle w:val="Refdenotaalfinal"/>
          <w:rFonts w:eastAsia="Times New Roman"/>
        </w:rPr>
        <w:endnoteReference w:id="12"/>
      </w:r>
      <w:r>
        <w:rPr>
          <w:rFonts w:ascii="Times New Roman" w:eastAsia="Times New Roman" w:hAnsi="Times New Roman"/>
        </w:rPr>
        <w:t>, baptisterio Sancte Marie in Pacina</w:t>
      </w:r>
      <w:r>
        <w:rPr>
          <w:rStyle w:val="Refdenotaalfinal"/>
          <w:rFonts w:eastAsia="Times New Roman"/>
        </w:rPr>
        <w:endnoteReference w:id="13"/>
      </w:r>
      <w:r>
        <w:rPr>
          <w:rFonts w:ascii="Times New Roman" w:eastAsia="Times New Roman" w:hAnsi="Times New Roman"/>
        </w:rPr>
        <w:t>, baptisterio Sancti Ipoliti in Sexsiano</w:t>
      </w:r>
      <w:r>
        <w:rPr>
          <w:rStyle w:val="Refdenotaalfinal"/>
          <w:rFonts w:eastAsia="Times New Roman"/>
        </w:rPr>
        <w:endnoteReference w:id="14"/>
      </w:r>
      <w:r>
        <w:rPr>
          <w:rFonts w:ascii="Times New Roman" w:eastAsia="Times New Roman" w:hAnsi="Times New Roman"/>
        </w:rPr>
        <w:t>, baptisterio Sancti Iohannis in Rancia</w:t>
      </w:r>
      <w:r>
        <w:rPr>
          <w:rStyle w:val="Refdenotaalfinal"/>
          <w:rFonts w:eastAsia="Times New Roman"/>
        </w:rPr>
        <w:endnoteReference w:id="15"/>
      </w:r>
      <w:r>
        <w:rPr>
          <w:rFonts w:ascii="Times New Roman" w:eastAsia="Times New Roman" w:hAnsi="Times New Roman"/>
        </w:rPr>
        <w:t>, monasterio Sancti Archangeli in fundo Lucus</w:t>
      </w:r>
      <w:r>
        <w:rPr>
          <w:rStyle w:val="Refdenotaalfinal"/>
          <w:rFonts w:eastAsia="Times New Roman"/>
        </w:rPr>
        <w:endnoteReference w:id="16"/>
      </w:r>
      <w:r>
        <w:rPr>
          <w:rFonts w:ascii="Times New Roman" w:eastAsia="Times New Roman" w:hAnsi="Times New Roman"/>
        </w:rPr>
        <w:t>, baptisterio Sancti Andree in Melcina</w:t>
      </w:r>
      <w:r>
        <w:rPr>
          <w:rStyle w:val="Refdenotaalfinal"/>
          <w:rFonts w:eastAsia="Times New Roman"/>
        </w:rPr>
        <w:endnoteReference w:id="17"/>
      </w:r>
      <w:r>
        <w:rPr>
          <w:rFonts w:ascii="Times New Roman" w:eastAsia="Times New Roman" w:hAnsi="Times New Roman"/>
        </w:rPr>
        <w:t>, baptisterio Sancti Petri in Pava</w:t>
      </w:r>
      <w:r>
        <w:rPr>
          <w:rStyle w:val="Refdenotaalfinal"/>
          <w:rFonts w:eastAsia="Times New Roman"/>
        </w:rPr>
        <w:endnoteReference w:id="18"/>
      </w:r>
      <w:r>
        <w:rPr>
          <w:rFonts w:ascii="Times New Roman" w:eastAsia="Times New Roman" w:hAnsi="Times New Roman"/>
        </w:rPr>
        <w:t>, baptisterio Sancte Marie in Cosona</w:t>
      </w:r>
      <w:r>
        <w:rPr>
          <w:rStyle w:val="Refdenotaalfinal"/>
          <w:rFonts w:eastAsia="Times New Roman"/>
        </w:rPr>
        <w:endnoteReference w:id="19"/>
      </w:r>
      <w:r>
        <w:rPr>
          <w:rFonts w:ascii="Times New Roman" w:eastAsia="Times New Roman" w:hAnsi="Times New Roman"/>
        </w:rPr>
        <w:t>, baptisterio Sancti Quirici et Iohannis in vico Palcina</w:t>
      </w:r>
      <w:r>
        <w:rPr>
          <w:rStyle w:val="Refdenotaalfinal"/>
          <w:rFonts w:eastAsia="Times New Roman"/>
        </w:rPr>
        <w:endnoteReference w:id="20"/>
      </w:r>
      <w:r>
        <w:rPr>
          <w:rFonts w:ascii="Times New Roman" w:eastAsia="Times New Roman" w:hAnsi="Times New Roman"/>
        </w:rPr>
        <w:t>, baptisterio Sancte Restitute in fundo Sesciano</w:t>
      </w:r>
      <w:r>
        <w:rPr>
          <w:rStyle w:val="Refdenotaalfinal"/>
          <w:rFonts w:eastAsia="Times New Roman"/>
        </w:rPr>
        <w:endnoteReference w:id="21"/>
      </w:r>
      <w:r>
        <w:rPr>
          <w:rFonts w:ascii="Times New Roman" w:eastAsia="Times New Roman" w:hAnsi="Times New Roman"/>
        </w:rPr>
        <w:t>, baptisterio Sancti Felicis in Avana</w:t>
      </w:r>
      <w:r>
        <w:rPr>
          <w:rStyle w:val="Refdenotaalfinal"/>
          <w:rFonts w:eastAsia="Times New Roman"/>
        </w:rPr>
        <w:endnoteReference w:id="22"/>
      </w:r>
      <w:r>
        <w:rPr>
          <w:rFonts w:ascii="Times New Roman" w:eastAsia="Times New Roman" w:hAnsi="Times New Roman"/>
        </w:rPr>
        <w:t>, baptisterio Sancte Matris Ecclesie in Misulas</w:t>
      </w:r>
      <w:r>
        <w:rPr>
          <w:rStyle w:val="Refdenotaalfinal"/>
          <w:rFonts w:eastAsia="Times New Roman"/>
        </w:rPr>
        <w:endnoteReference w:id="23"/>
      </w:r>
      <w:r>
        <w:rPr>
          <w:rFonts w:ascii="Times New Roman" w:eastAsia="Times New Roman" w:hAnsi="Times New Roman"/>
        </w:rPr>
        <w:t>, baptisterio Sancti Valentini in casale Ursino</w:t>
      </w:r>
      <w:r>
        <w:rPr>
          <w:rStyle w:val="Refdenotaalfinal"/>
          <w:rFonts w:eastAsia="Times New Roman"/>
        </w:rPr>
        <w:endnoteReference w:id="24"/>
      </w:r>
      <w:r>
        <w:rPr>
          <w:rFonts w:ascii="Times New Roman" w:eastAsia="Times New Roman" w:hAnsi="Times New Roman"/>
        </w:rPr>
        <w:t>, monasterio Sancti Petri</w:t>
      </w:r>
      <w:r>
        <w:rPr>
          <w:rStyle w:val="Refdenotaalfinal"/>
          <w:rFonts w:eastAsia="Times New Roman"/>
        </w:rPr>
        <w:endnoteReference w:id="25"/>
      </w:r>
      <w:r>
        <w:rPr>
          <w:rFonts w:ascii="Times New Roman" w:eastAsia="Times New Roman" w:hAnsi="Times New Roman"/>
        </w:rPr>
        <w:t xml:space="preserve"> ad Abso</w:t>
      </w:r>
      <w:r>
        <w:rPr>
          <w:rStyle w:val="Refdenotaalfinal"/>
          <w:rFonts w:eastAsia="Times New Roman"/>
        </w:rPr>
        <w:endnoteReference w:customMarkFollows="1" w:id="26"/>
        <w:t>e</w:t>
      </w:r>
      <w:r>
        <w:rPr>
          <w:rFonts w:ascii="Times New Roman" w:eastAsia="Times New Roman" w:hAnsi="Times New Roman"/>
        </w:rPr>
        <w:t>, baptisterio Sancti Viti in Rutiliano</w:t>
      </w:r>
      <w:r>
        <w:rPr>
          <w:rStyle w:val="Refdenotaalfinal"/>
          <w:rFonts w:eastAsia="Times New Roman"/>
        </w:rPr>
        <w:endnoteReference w:id="27"/>
      </w:r>
      <w:r>
        <w:rPr>
          <w:rFonts w:ascii="Times New Roman" w:eastAsia="Times New Roman" w:hAnsi="Times New Roman"/>
        </w:rPr>
        <w:t xml:space="preserve"> et Sancte Matre Ecclesia in castello</w:t>
      </w:r>
      <w:r>
        <w:rPr>
          <w:rStyle w:val="Refdenotaalfinal"/>
          <w:rFonts w:eastAsia="Times New Roman"/>
        </w:rPr>
        <w:endnoteReference w:id="28"/>
      </w:r>
      <w:r>
        <w:rPr>
          <w:rFonts w:ascii="Times New Roman" w:eastAsia="Times New Roman" w:hAnsi="Times New Roman"/>
        </w:rPr>
        <w:t xml:space="preserve"> Pulliciano. Et ambe partes altercantes in nostra coniunxissetis presentia, asserebas tu, suprascripte</w:t>
      </w:r>
      <w:r>
        <w:rPr>
          <w:rFonts w:ascii="Times New Roman" w:eastAsia="Times New Roman" w:hAnsi="Times New Roman"/>
          <w:sz w:val="18"/>
        </w:rPr>
        <w:t xml:space="preserve"> </w:t>
      </w:r>
      <w:r>
        <w:rPr>
          <w:rFonts w:ascii="Times New Roman" w:eastAsia="Times New Roman" w:hAnsi="Times New Roman"/>
        </w:rPr>
        <w:t>Luperciane episcope: “Quia ecclesias istas et monasteria cum suis oraculis, per diversa vicora constituta, a tempore antiquo usque modo, in quo a fundamentis condite sunt, semper ad sedem Beati Donati Arit</w:t>
      </w:r>
      <w:r w:rsidR="00114932">
        <w:rPr>
          <w:rFonts w:ascii="Times New Roman" w:eastAsia="Times New Roman" w:hAnsi="Times New Roman"/>
        </w:rPr>
        <w:t>io subiecte fuerunt; et nostra v</w:t>
      </w:r>
      <w:r>
        <w:rPr>
          <w:rFonts w:ascii="Times New Roman" w:eastAsia="Times New Roman" w:hAnsi="Times New Roman"/>
        </w:rPr>
        <w:t>el antecessorum nostrorum fuit sacratio tam in presbiteros quam et in diaconos, et nostra usque actenus mansit possessio, et nos debemus abere”. Ad haec replicabat Adeodatus Senensis ecclesie presul: “Veritas est, ut asseris, quia ecclesie iste et monasteria atque oracula, que in territorio Senensi co</w:t>
      </w:r>
      <w:r w:rsidR="00975D7E">
        <w:rPr>
          <w:rFonts w:ascii="Times New Roman" w:eastAsia="Times New Roman" w:hAnsi="Times New Roman"/>
        </w:rPr>
        <w:t>nstitute sunt, ab antecessores v</w:t>
      </w:r>
      <w:r>
        <w:rPr>
          <w:rFonts w:ascii="Times New Roman" w:eastAsia="Times New Roman" w:hAnsi="Times New Roman"/>
        </w:rPr>
        <w:t>estros ibidem semper fuit sacratio, sed ideo quia ecclesia Senensis minime pontificem abebat; nunc autem ad nos debent pertinere”. Cui et actra</w:t>
      </w:r>
      <w:r>
        <w:rPr>
          <w:rStyle w:val="Refdenotaalfinal"/>
          <w:rFonts w:eastAsia="Times New Roman"/>
        </w:rPr>
        <w:endnoteReference w:customMarkFollows="1" w:id="29"/>
        <w:t>f</w:t>
      </w:r>
      <w:r>
        <w:rPr>
          <w:rFonts w:ascii="Times New Roman" w:eastAsia="Times New Roman" w:hAnsi="Times New Roman"/>
        </w:rPr>
        <w:t xml:space="preserve"> iterum replicabas tu, sepiusdicte</w:t>
      </w:r>
      <w:r>
        <w:rPr>
          <w:rFonts w:ascii="Times New Roman" w:eastAsia="Times New Roman" w:hAnsi="Times New Roman"/>
          <w:sz w:val="18"/>
        </w:rPr>
        <w:t xml:space="preserve"> </w:t>
      </w:r>
      <w:r>
        <w:rPr>
          <w:rFonts w:ascii="Times New Roman" w:eastAsia="Times New Roman" w:hAnsi="Times New Roman"/>
        </w:rPr>
        <w:t xml:space="preserve">Lupertiane episcope: “Ab antiquo tempore usque ad introitum in Italia Langobardorum, ex quo Christi predicatio Tuscie finibus personavit, Sena episcopum abuit; et post ingressum Langobardorum in Italia, a tempore Rothareni regis usque actenus, semper episcopus ibidem fuit. Sed tam Romanorum tempore quamque Langobardorum abendo et non abendo Sena episcopum usque in presentem diem ipsas ecclesias, baptisteria et monasteria cum suis oraculis ad nos pertinuerunt; et de nobis chrisma susceperunt per singulis annis et consignationem in populo fecimus et secundum canonicam regulam habere debemus, quia et presbiteri suprascriptarum ecclesiarum semper, tam qui transierunt quam et qui nunc supersunt, sacrationem a sede Beati Donati sumpserunt; et ecce manus eorum scriptas, ubi fidem et obedientiam secundum consuetudinem Aretine promiserunt ecclesie. Nam et de hac causa iam </w:t>
      </w:r>
      <w:r>
        <w:rPr>
          <w:rFonts w:ascii="Times New Roman" w:eastAsia="Times New Roman" w:hAnsi="Times New Roman"/>
        </w:rPr>
        <w:lastRenderedPageBreak/>
        <w:t>missus suprascripti domini excelentissimi regis nomine Guntheram</w:t>
      </w:r>
      <w:r>
        <w:rPr>
          <w:rStyle w:val="Refdenotaalfinal"/>
          <w:rFonts w:eastAsia="Times New Roman"/>
        </w:rPr>
        <w:endnoteReference w:id="30"/>
      </w:r>
      <w:r>
        <w:rPr>
          <w:rFonts w:ascii="Times New Roman" w:eastAsia="Times New Roman" w:hAnsi="Times New Roman"/>
        </w:rPr>
        <w:t xml:space="preserve"> notarius directus est, qui et causas e merito tam per ipsos presbiteros et diaconos, quia sacrationem a nostra ecclesia susceperunt, seu et per singulos arimannos</w:t>
      </w:r>
      <w:r>
        <w:rPr>
          <w:rStyle w:val="Refdenotaalfinal"/>
          <w:rFonts w:eastAsia="Times New Roman"/>
        </w:rPr>
        <w:endnoteReference w:id="31"/>
      </w:r>
      <w:r>
        <w:rPr>
          <w:rFonts w:ascii="Times New Roman" w:eastAsia="Times New Roman" w:hAnsi="Times New Roman"/>
        </w:rPr>
        <w:t xml:space="preserve"> ipsius Senensis civitatis inquisiuit. Et rei veritatem conpertus usque in concilium episcoporum deduxit, idest in presentia sanctissimorum fratrum nostrorum Teudvald</w:t>
      </w:r>
      <w:r>
        <w:rPr>
          <w:rStyle w:val="Refdenotaalfinal"/>
          <w:rFonts w:eastAsia="Times New Roman"/>
        </w:rPr>
        <w:endnoteReference w:id="32"/>
      </w:r>
      <w:r>
        <w:rPr>
          <w:rFonts w:ascii="Times New Roman" w:eastAsia="Times New Roman" w:hAnsi="Times New Roman"/>
        </w:rPr>
        <w:t xml:space="preserve"> Vesolane ecclesie, Maximo</w:t>
      </w:r>
      <w:r>
        <w:rPr>
          <w:rStyle w:val="Refdenotaalfinal"/>
          <w:rFonts w:eastAsia="Times New Roman"/>
        </w:rPr>
        <w:endnoteReference w:id="33"/>
      </w:r>
      <w:r>
        <w:rPr>
          <w:rFonts w:ascii="Times New Roman" w:eastAsia="Times New Roman" w:hAnsi="Times New Roman"/>
        </w:rPr>
        <w:t xml:space="preserve"> Pisane, Specioso</w:t>
      </w:r>
      <w:r>
        <w:rPr>
          <w:rStyle w:val="Refdenotaalfinal"/>
          <w:rFonts w:eastAsia="Times New Roman"/>
        </w:rPr>
        <w:endnoteReference w:id="34"/>
      </w:r>
      <w:r>
        <w:rPr>
          <w:rFonts w:ascii="Times New Roman" w:eastAsia="Times New Roman" w:hAnsi="Times New Roman"/>
        </w:rPr>
        <w:t xml:space="preserve"> Florentine atque Talespriano</w:t>
      </w:r>
      <w:r>
        <w:rPr>
          <w:rStyle w:val="Refdenotaalfinal"/>
          <w:rFonts w:eastAsia="Times New Roman"/>
        </w:rPr>
        <w:endnoteReference w:id="35"/>
      </w:r>
      <w:r>
        <w:rPr>
          <w:rFonts w:ascii="Times New Roman" w:eastAsia="Times New Roman" w:hAnsi="Times New Roman"/>
        </w:rPr>
        <w:t xml:space="preserve"> Lucensis ecclesie episcoporum, in quorum presentia ut supra altercavimus; et ipsi, canonico ordine relecta inquisitione, quam missus domni nostri fecerat, terminum posuerunt. Et cum sex presbiteros meos tibi sacramentum prebui, quod ipsis diocesis ecclesie cum monasteriis atque oraculis suis semper ad Beati Donati pertenuissent sedem, nec per legem eas perdere deberemus. Tunc nostra excellentia, unacum venerandos viros Theodoro, episcopo Castri nostri Felicitatis</w:t>
      </w:r>
      <w:r>
        <w:rPr>
          <w:rStyle w:val="Refdenotaalfinal"/>
          <w:rFonts w:eastAsia="Times New Roman"/>
        </w:rPr>
        <w:endnoteReference w:id="36"/>
      </w:r>
      <w:r>
        <w:rPr>
          <w:rFonts w:ascii="Times New Roman" w:eastAsia="Times New Roman" w:hAnsi="Times New Roman"/>
        </w:rPr>
        <w:t>, et Emulino abbate atque Segi vel Albino presbiteris necnon illustres iudices nostris qui nobiscum aderant, id</w:t>
      </w:r>
      <w:r w:rsidR="003118E7">
        <w:rPr>
          <w:rFonts w:ascii="Times New Roman" w:eastAsia="Times New Roman" w:hAnsi="Times New Roman"/>
        </w:rPr>
        <w:t xml:space="preserve"> est Audu</w:t>
      </w:r>
      <w:r>
        <w:rPr>
          <w:rFonts w:ascii="Times New Roman" w:eastAsia="Times New Roman" w:hAnsi="Times New Roman"/>
        </w:rPr>
        <w:t>ald ducem</w:t>
      </w:r>
      <w:r>
        <w:rPr>
          <w:rStyle w:val="Refdenotaalfinal"/>
          <w:rFonts w:eastAsia="Times New Roman"/>
        </w:rPr>
        <w:endnoteReference w:id="37"/>
      </w:r>
      <w:r w:rsidR="0081267F">
        <w:rPr>
          <w:rFonts w:ascii="Times New Roman" w:eastAsia="Times New Roman" w:hAnsi="Times New Roman"/>
        </w:rPr>
        <w:t>, Gaidu</w:t>
      </w:r>
      <w:r>
        <w:rPr>
          <w:rFonts w:ascii="Times New Roman" w:eastAsia="Times New Roman" w:hAnsi="Times New Roman"/>
        </w:rPr>
        <w:t>ald et Gaidoald, Landoari, Aufus et Aufrit stratores, Senonem, Rotfrit et Ratbertum maior domus, hanc audientes vestram allegationem interrogavimus et per Deum, factorem celi et terre, et Beato Petro, cui Dominus ligandi solvendique in celo et in terra tribuit potestatem, adiuravimus ipsum Adeodatum episcopum Senensis ecclesie, ut nobis de ac causa luce clarius diceret veritatem, qualiter causam sine peccato finire deberemus. Qui statim coram omnibus inrupit in faciem, et ita professus est dicens: “Coram Deo non mentior, quoniam istas sepiusdictas ecclesias et monasteria cum sua oracula consecrationem et obedientiam a sede Beati Donati Aretine ecclesie presulis vel ab eius defensores habuerunt et ibidem pertinuerunt. Nam ad Senensem ecclesiam nichil debentur nisi contra Deum et canonicam institutionem. Dum inter Aretine civitatis habitatores et Senensem populum inimicitias de morte Godebert</w:t>
      </w:r>
      <w:r>
        <w:rPr>
          <w:rStyle w:val="Refdenotaalfinal"/>
          <w:rFonts w:eastAsia="Times New Roman"/>
        </w:rPr>
        <w:endnoteReference w:id="38"/>
      </w:r>
      <w:r>
        <w:rPr>
          <w:rFonts w:ascii="Times New Roman" w:eastAsia="Times New Roman" w:hAnsi="Times New Roman"/>
        </w:rPr>
        <w:t xml:space="preserve"> iudicis, consobrini mei, tempore gloriosissimi Ariperti regis fuisset, sic dolose ibidem ab antecessores meos unum tantummodo annum per aliquanta oracula intra ipsa diocia inormiter sacratio provenit. Sed et anno isto, dum incaute et contra iustitiam causam promoverem, ex iussu</w:t>
      </w:r>
      <w:r>
        <w:rPr>
          <w:rStyle w:val="Refdenotaalfinal"/>
          <w:rFonts w:eastAsia="Times New Roman"/>
        </w:rPr>
        <w:endnoteReference w:customMarkFollows="1" w:id="39"/>
        <w:t>g</w:t>
      </w:r>
      <w:r>
        <w:rPr>
          <w:rFonts w:ascii="Times New Roman" w:eastAsia="Times New Roman" w:hAnsi="Times New Roman"/>
        </w:rPr>
        <w:t xml:space="preserve"> bone memorie apostolici Constantini et per me, extra ordinem et rationem ibidem in presbiteros duo et uno oraculo sacratio facta est”. Hanc igitur professionem nostra excellentia, una cum iamdictos venerabiles viros, sed illustres iudices nostros audientes, rectum nobis paruit, ut qualiter suprascriptas ecclesias et monasteria a longo tempore ad sedem Beati Donati pertinuerunt et in antea pertinere debeant, et omnis sacratio in presbiteros et in diaconos per presulem Aretine ecclesie, qui nunc est aut fuerit, omni in tempore in eos proveniat, sicut et prefati sanctissimi patris nostri, Teodald, Maximus, Speciosus et Talesprianus episcopi, per suum iudicatum</w:t>
      </w:r>
      <w:r>
        <w:rPr>
          <w:rStyle w:val="Refdenotaalfinal"/>
          <w:rFonts w:eastAsia="Times New Roman"/>
        </w:rPr>
        <w:endnoteReference w:customMarkFollows="1" w:id="40"/>
        <w:t>h</w:t>
      </w:r>
      <w:r>
        <w:rPr>
          <w:rFonts w:ascii="Times New Roman" w:eastAsia="Times New Roman" w:hAnsi="Times New Roman"/>
        </w:rPr>
        <w:t xml:space="preserve"> statuerunt. Et nullam amodo his ipse Adeodatus, Senensis ecclesie episcopus, vel successores eius adversus te, Lupertianum episcopum, vel tuos successores de ipsas diocias monasteria et oracula facundiam ad loquendum habeat nisi vestra in ipsis ecclesiis, monasteriis aut oraculis, qui sunt au in tempore fuerit, maneat ordinatio, nullum contradicentem, sicut et antiquitus usque actenus fuit. Qualiter ipse Adeodatus episcopu</w:t>
      </w:r>
      <w:r w:rsidR="00D07472">
        <w:rPr>
          <w:rFonts w:ascii="Times New Roman" w:eastAsia="Times New Roman" w:hAnsi="Times New Roman"/>
        </w:rPr>
        <w:t>s Senensis ecclesie, V</w:t>
      </w:r>
      <w:r>
        <w:rPr>
          <w:rFonts w:ascii="Times New Roman" w:eastAsia="Times New Roman" w:hAnsi="Times New Roman"/>
        </w:rPr>
        <w:t>uarnifrit</w:t>
      </w:r>
      <w:r>
        <w:rPr>
          <w:rStyle w:val="Refdenotaalfinal"/>
          <w:rFonts w:eastAsia="Times New Roman"/>
        </w:rPr>
        <w:endnoteReference w:id="41"/>
      </w:r>
      <w:r>
        <w:rPr>
          <w:rFonts w:ascii="Times New Roman" w:eastAsia="Times New Roman" w:hAnsi="Times New Roman"/>
        </w:rPr>
        <w:t xml:space="preserve"> et Agipert</w:t>
      </w:r>
      <w:r w:rsidR="009572BE">
        <w:rPr>
          <w:rStyle w:val="Refdenotaalfinal"/>
          <w:rFonts w:ascii="Times New Roman" w:eastAsia="Times New Roman" w:hAnsi="Times New Roman"/>
        </w:rPr>
        <w:endnoteReference w:id="42"/>
      </w:r>
      <w:r>
        <w:rPr>
          <w:rFonts w:ascii="Times New Roman" w:eastAsia="Times New Roman" w:hAnsi="Times New Roman"/>
        </w:rPr>
        <w:t xml:space="preserve"> castaldii eiusdem civitatis nobis professi sunt, quod vestram mansisset semper possessio. Unde et damus in mandatis cunctis iudicibus et agentibus</w:t>
      </w:r>
      <w:r>
        <w:rPr>
          <w:rStyle w:val="Refdenotaalfinal"/>
          <w:rFonts w:eastAsia="Times New Roman"/>
        </w:rPr>
        <w:endnoteReference w:customMarkFollows="1" w:id="43"/>
        <w:t>i</w:t>
      </w:r>
      <w:r>
        <w:rPr>
          <w:rFonts w:ascii="Times New Roman" w:eastAsia="Times New Roman" w:hAnsi="Times New Roman"/>
        </w:rPr>
        <w:t xml:space="preserve"> atque sub regni nostri ditione pertinentibus</w:t>
      </w:r>
      <w:r>
        <w:rPr>
          <w:rFonts w:ascii="Times New Roman" w:eastAsia="Times New Roman" w:hAnsi="Times New Roman"/>
          <w:sz w:val="18"/>
        </w:rPr>
        <w:t>,</w:t>
      </w:r>
      <w:r>
        <w:rPr>
          <w:rFonts w:ascii="Times New Roman" w:eastAsia="Times New Roman" w:hAnsi="Times New Roman"/>
        </w:rPr>
        <w:t xml:space="preserve"> ut nullus eorum contra hoc nostrum deiudicatum audeat ire quandoque preceptum, sed nostris perpetuis et infinitis presens noster iudicatus stabilis persistat temporibus.</w:t>
      </w:r>
    </w:p>
    <w:p w14:paraId="59B5FE35" w14:textId="1099CA6C" w:rsidR="00904194" w:rsidRDefault="00904194" w:rsidP="00904194">
      <w:pPr>
        <w:jc w:val="both"/>
        <w:rPr>
          <w:rFonts w:ascii="Times New Roman" w:hAnsi="Times New Roman"/>
        </w:rPr>
      </w:pPr>
      <w:r>
        <w:rPr>
          <w:rFonts w:ascii="Times New Roman" w:eastAsia="Times New Roman" w:hAnsi="Times New Roman"/>
        </w:rPr>
        <w:t>Ex dicto dom</w:t>
      </w:r>
      <w:r w:rsidR="000F4706">
        <w:rPr>
          <w:rFonts w:ascii="Times New Roman" w:eastAsia="Times New Roman" w:hAnsi="Times New Roman"/>
        </w:rPr>
        <w:t>ni regis per Senonem illustrem v</w:t>
      </w:r>
      <w:r>
        <w:rPr>
          <w:rFonts w:ascii="Times New Roman" w:eastAsia="Times New Roman" w:hAnsi="Times New Roman"/>
        </w:rPr>
        <w:t>irum scripsi ego Iohannes notarius</w:t>
      </w:r>
      <w:r>
        <w:rPr>
          <w:rStyle w:val="Refdenotaalfinal"/>
          <w:rFonts w:eastAsia="Times New Roman"/>
        </w:rPr>
        <w:endnoteReference w:customMarkFollows="1" w:id="44"/>
        <w:t>j</w:t>
      </w:r>
      <w:r w:rsidR="000C3A21">
        <w:rPr>
          <w:rFonts w:ascii="Times New Roman" w:eastAsia="Times New Roman" w:hAnsi="Times New Roman"/>
        </w:rPr>
        <w:t>.</w:t>
      </w:r>
    </w:p>
    <w:p w14:paraId="35E617FD" w14:textId="77777777" w:rsidR="00B67475" w:rsidRDefault="00B67475"/>
    <w:sectPr w:rsidR="00B67475">
      <w:endnotePr>
        <w:numFmt w:val="decimal"/>
      </w:endnotePr>
      <w:pgSz w:w="11906" w:h="16838"/>
      <w:pgMar w:top="1417" w:right="1701" w:bottom="1417" w:left="1701"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F7739D" w14:textId="77777777" w:rsidR="00904194" w:rsidRDefault="00904194" w:rsidP="00904194">
      <w:r>
        <w:separator/>
      </w:r>
    </w:p>
  </w:endnote>
  <w:endnote w:type="continuationSeparator" w:id="0">
    <w:p w14:paraId="22B8384E" w14:textId="77777777" w:rsidR="00904194" w:rsidRDefault="00904194" w:rsidP="00904194">
      <w:r>
        <w:continuationSeparator/>
      </w:r>
    </w:p>
  </w:endnote>
  <w:endnote w:id="1">
    <w:p w14:paraId="6DD7013A" w14:textId="4BA22EF3" w:rsidR="00013627" w:rsidRPr="00385787" w:rsidRDefault="00013627">
      <w:pPr>
        <w:pStyle w:val="Textonotaalfinal"/>
        <w:rPr>
          <w:lang w:val="es-ES_tradnl"/>
        </w:rPr>
      </w:pPr>
      <w:r>
        <w:rPr>
          <w:rStyle w:val="Refdenotaalfinal"/>
        </w:rPr>
        <w:endnoteRef/>
      </w:r>
      <w:r>
        <w:t xml:space="preserve"> </w:t>
      </w:r>
      <w:r w:rsidR="00385787">
        <w:t xml:space="preserve">Per i problemi relativi alla data, non indicata in questa copia del </w:t>
      </w:r>
      <w:r w:rsidR="00385787">
        <w:rPr>
          <w:i/>
        </w:rPr>
        <w:t>prec</w:t>
      </w:r>
      <w:r w:rsidR="00AA3988">
        <w:rPr>
          <w:i/>
        </w:rPr>
        <w:t>e</w:t>
      </w:r>
      <w:r w:rsidR="00385787">
        <w:rPr>
          <w:i/>
        </w:rPr>
        <w:t>ptum</w:t>
      </w:r>
      <w:r w:rsidR="00385787">
        <w:t xml:space="preserve">, </w:t>
      </w:r>
      <w:r w:rsidR="00DD2930">
        <w:t xml:space="preserve">v. </w:t>
      </w:r>
      <w:r w:rsidR="00385787">
        <w:t>Brü</w:t>
      </w:r>
      <w:r w:rsidR="0017515F">
        <w:t>hl, 1970, p. 103.</w:t>
      </w:r>
    </w:p>
  </w:endnote>
  <w:endnote w:id="2">
    <w:p w14:paraId="0E35AD3B" w14:textId="7009C92A" w:rsidR="005A7194" w:rsidRDefault="005A7194" w:rsidP="005A7194">
      <w:pPr>
        <w:pStyle w:val="Textonotaalfinal"/>
      </w:pPr>
      <w:r>
        <w:rPr>
          <w:rStyle w:val="Refdenotaalfinal"/>
        </w:rPr>
        <w:endnoteRef/>
      </w:r>
      <w:r>
        <w:t xml:space="preserve"> </w:t>
      </w:r>
      <w:r w:rsidR="009111CA">
        <w:t>Il documento che qui si presenta fu trascritto sul</w:t>
      </w:r>
      <w:r w:rsidR="009111CA" w:rsidRPr="004418D4">
        <w:rPr>
          <w:i/>
        </w:rPr>
        <w:t xml:space="preserve"> recto </w:t>
      </w:r>
      <w:r w:rsidR="009111CA">
        <w:t>del rotolo membranaceo opistografo (Rotolo n. 3 della Canonica aretina), composto da cinque pergamene cucite insieme dal loro lato più corto</w:t>
      </w:r>
      <w:r w:rsidR="009111CA">
        <w:t xml:space="preserve">. </w:t>
      </w:r>
      <w:r w:rsidR="00245472">
        <w:t>Q</w:t>
      </w:r>
      <w:r>
        <w:t>uesto documento</w:t>
      </w:r>
      <w:r>
        <w:rPr>
          <w:i/>
        </w:rPr>
        <w:t xml:space="preserve"> </w:t>
      </w:r>
      <w:r w:rsidRPr="00731A8F">
        <w:t xml:space="preserve">occupa </w:t>
      </w:r>
      <w:r w:rsidR="001E7273">
        <w:t>la pergamena n. IV di tale r</w:t>
      </w:r>
      <w:r>
        <w:t xml:space="preserve">otolo, a seguito del </w:t>
      </w:r>
      <w:r>
        <w:rPr>
          <w:i/>
        </w:rPr>
        <w:t>iudicatum</w:t>
      </w:r>
      <w:r>
        <w:t xml:space="preserve"> del luglio dell’anno 715 (CDL, I, n. 20). Sul </w:t>
      </w:r>
      <w:r>
        <w:rPr>
          <w:i/>
        </w:rPr>
        <w:t xml:space="preserve">dossier </w:t>
      </w:r>
      <w:r>
        <w:t>documentario e la bibliografia che riguardano la controversia tra le diocesi di Arezzo</w:t>
      </w:r>
      <w:r w:rsidR="009F4006">
        <w:t xml:space="preserve"> e Siena si veda la nota n. 1 a</w:t>
      </w:r>
      <w:r>
        <w:t>l documento dell’anno 650 ca.</w:t>
      </w:r>
    </w:p>
  </w:endnote>
  <w:endnote w:id="3">
    <w:p w14:paraId="4121134A" w14:textId="18DF8CC0" w:rsidR="00904194" w:rsidRDefault="00904194" w:rsidP="00904194">
      <w:pPr>
        <w:pStyle w:val="Textonotaalfinal"/>
        <w:rPr>
          <w:b/>
        </w:rPr>
      </w:pPr>
      <w:r>
        <w:rPr>
          <w:rStyle w:val="Refdenotaalfinal"/>
        </w:rPr>
        <w:endnoteRef/>
      </w:r>
      <w:r>
        <w:t xml:space="preserve"> </w:t>
      </w:r>
      <w:r w:rsidR="0082500E">
        <w:t xml:space="preserve">Luigi Schiaparelli indicava, seguendo Pasqui (1899, I, p. 3), l’anno 1056 come data possibile dell’esecuzione delle copie dei documenti d’epoca longobarda presenti nel Rotolo n. 3. Infatti, nella pergamena n. II del Rotolo è scritto: </w:t>
      </w:r>
      <w:r w:rsidR="0082500E">
        <w:rPr>
          <w:i/>
        </w:rPr>
        <w:t xml:space="preserve">(C) Haec sunt exemplaria de privilegiis apostolicorum et preceptis regum et imperatorum a veteribus tomis trans/ scripta super contentione Aretinensis ecclesiae atque Senensis, que ego Gerardus sancti Donati primicerius/ fideliter denotavi, Deo et domino nostro Iesu Christo teste et omnibus sanctis, si damnatione cum Iuda traditore in die extremi/ examinis non confundar, de quantum legere potui iuxta meam conscientiam, nihil plus aut minus describens/ per manus Geçonis eiusdem sancte Aretine aecclesie notarii </w:t>
      </w:r>
      <w:r w:rsidR="0082500E">
        <w:t>(edito in CDL, I, p. 9, nell’introduzione proposta da Schiaparelli al documento che qui si presenta). Successivamente, Carlrichard Brühl (CDL III/1, n. 12, p 52) realizzava una diversa proposta di datazione in base all’analisi fotografica delle pergamene del Rotolo n. 3 eseguita, su sua richiesta, da Bernhard Bischoff, che collocava “nella seconda metà del IX secolo o al più tardi nel primo terzo del X” questa e le altre trascrizioni dei documenti di epoca longobarda (si vedano anche le considerazioni di Brühl 1970, p. 96). Recentemente, François Bougard tornando sull’argomento ha negato l’ipotesi di Bischoff e Brühl e ha segnalato come più probabile data per la realizzazione delle copie cucite insieme nel Rotolo n. 3 un tempo di poco precedente al concilio lateranense del 1059, momento nel quale dovettero essere presentate in giudizio davanti al tribunale convocato a Roma</w:t>
      </w:r>
      <w:r w:rsidR="0082500E" w:rsidRPr="00AD4BC1">
        <w:t xml:space="preserve"> </w:t>
      </w:r>
      <w:r w:rsidR="0082500E">
        <w:t xml:space="preserve">a sostegno delle tesi aretine. Le ragioni di Bougard, che attribuisce nuovamente l’opera a Gezone, </w:t>
      </w:r>
      <w:r w:rsidR="0082500E">
        <w:rPr>
          <w:i/>
        </w:rPr>
        <w:t>sancte Aretine aecclesie notarius</w:t>
      </w:r>
      <w:r w:rsidR="0082500E">
        <w:t>, riguardano la sua appartenenza alla “première génération des notaires actifs auprès de la cathédrale au XI</w:t>
      </w:r>
      <w:r w:rsidR="0082500E">
        <w:rPr>
          <w:vertAlign w:val="superscript"/>
        </w:rPr>
        <w:t>e</w:t>
      </w:r>
      <w:r w:rsidR="0082500E">
        <w:t xml:space="preserve"> siècle” (Bougard 2006, p. 119). Notai a cui si debe quel cambio grafico osservabile nel “laboratorio” aretino studiato nel dettaglio da Giovanna Nicolaj. Ed è proprio Nicolaj, che nel 2012, in margine a un intervento in tema di falso documentario, propone il ritorno alle ipotesi di Bischoff, ovvero a una datazione al pieno secolo IX delle trascrizioni di epoca liutprandea: “Gerardo, primicerio aretino dell’XI, è intervenuto a correggere le copie del IX sul </w:t>
      </w:r>
      <w:r w:rsidR="0082500E" w:rsidRPr="00792BD1">
        <w:rPr>
          <w:i/>
        </w:rPr>
        <w:t>recto</w:t>
      </w:r>
      <w:r w:rsidR="0082500E">
        <w:t xml:space="preserve"> (</w:t>
      </w:r>
      <w:r w:rsidR="0082500E">
        <w:rPr>
          <w:i/>
        </w:rPr>
        <w:t>denotavi</w:t>
      </w:r>
      <w:r w:rsidR="0082500E">
        <w:t>)”, Feo - Nicolaj 2012, p. 213. Tuttavia, in mancanza di nuovi studi critici specifici sui problemi relativi alla materiale redazione del rotolo, la questione deve rimanere aperta.</w:t>
      </w:r>
    </w:p>
  </w:endnote>
  <w:endnote w:id="4">
    <w:p w14:paraId="2CEDDED7" w14:textId="284DB253" w:rsidR="00904194" w:rsidRDefault="00904194" w:rsidP="00904194">
      <w:pPr>
        <w:pStyle w:val="Textonotaalfinal"/>
      </w:pPr>
      <w:r>
        <w:rPr>
          <w:rStyle w:val="Refdenotaalfinal"/>
        </w:rPr>
        <w:t>*</w:t>
      </w:r>
      <w:r w:rsidR="00917459">
        <w:t xml:space="preserve"> </w:t>
      </w:r>
      <w:r w:rsidR="00B31DF1" w:rsidRPr="005F7E7F">
        <w:rPr>
          <w:lang w:val="es-ES_tradnl"/>
        </w:rPr>
        <w:t>La tra</w:t>
      </w:r>
      <w:r w:rsidR="00B31DF1">
        <w:rPr>
          <w:lang w:val="es-ES_tradnl"/>
        </w:rPr>
        <w:t>scrizione è stata condotta su una</w:t>
      </w:r>
      <w:r w:rsidR="00B31DF1" w:rsidRPr="005F7E7F">
        <w:rPr>
          <w:lang w:val="es-ES_tradnl"/>
        </w:rPr>
        <w:t xml:space="preserve"> riproduzione </w:t>
      </w:r>
      <w:r w:rsidR="00B31DF1">
        <w:rPr>
          <w:lang w:val="es-ES_tradnl"/>
        </w:rPr>
        <w:t>fotografica di B messa a mia disposizione dal personale d</w:t>
      </w:r>
      <w:r w:rsidR="00B31DF1">
        <w:t>ell’Archivio Storico Diocesano di Arezzo.</w:t>
      </w:r>
    </w:p>
  </w:endnote>
  <w:endnote w:id="5">
    <w:p w14:paraId="3C8AB998" w14:textId="77777777" w:rsidR="00904194" w:rsidRDefault="00904194" w:rsidP="00904194">
      <w:pPr>
        <w:pStyle w:val="Textonotaalfinal"/>
      </w:pPr>
      <w:r>
        <w:rPr>
          <w:rStyle w:val="Refdenotaalfinal"/>
        </w:rPr>
        <w:t>a</w:t>
      </w:r>
      <w:r>
        <w:t xml:space="preserve"> “Edict”</w:t>
      </w:r>
      <w:r>
        <w:rPr>
          <w:i/>
        </w:rPr>
        <w:t xml:space="preserve"> </w:t>
      </w:r>
      <w:r>
        <w:t>in alfabeto minuscolo sovramodulato.</w:t>
      </w:r>
    </w:p>
  </w:endnote>
  <w:endnote w:id="6">
    <w:p w14:paraId="30FECDBE" w14:textId="07E2AEF4" w:rsidR="00904194" w:rsidRDefault="00904194" w:rsidP="00904194">
      <w:pPr>
        <w:pStyle w:val="Textonotaalfinal"/>
      </w:pPr>
      <w:r>
        <w:rPr>
          <w:rStyle w:val="Refdenotaalfinal"/>
        </w:rPr>
        <w:t>b</w:t>
      </w:r>
      <w:r>
        <w:t xml:space="preserve"> La copia del documento</w:t>
      </w:r>
      <w:r w:rsidR="00790D92">
        <w:t xml:space="preserve"> </w:t>
      </w:r>
      <w:r>
        <w:t>include</w:t>
      </w:r>
      <w:r w:rsidR="00796018">
        <w:t xml:space="preserve"> questo titolo, scritto</w:t>
      </w:r>
      <w:r>
        <w:t xml:space="preserve"> in una capitale libraria “mêl</w:t>
      </w:r>
      <w:r w:rsidR="007D255D">
        <w:t>ée de caroline” Bougard, p. 121; fu trascritto</w:t>
      </w:r>
      <w:r>
        <w:t xml:space="preserve"> da </w:t>
      </w:r>
      <w:r w:rsidR="00013627">
        <w:t xml:space="preserve">Brühl </w:t>
      </w:r>
      <w:r>
        <w:t xml:space="preserve">nell’introduzione </w:t>
      </w:r>
      <w:r w:rsidR="00483F31">
        <w:t>all’</w:t>
      </w:r>
      <w:r w:rsidR="00A63ABD">
        <w:t>edizione di</w:t>
      </w:r>
      <w:r>
        <w:t xml:space="preserve"> questo documento (CDL, III/1 p. 57).</w:t>
      </w:r>
    </w:p>
  </w:endnote>
  <w:endnote w:id="7">
    <w:p w14:paraId="3A27BD7A" w14:textId="0E432C91" w:rsidR="00904194" w:rsidRDefault="00904194" w:rsidP="00904194">
      <w:pPr>
        <w:pStyle w:val="Textonotaalfinal"/>
      </w:pPr>
      <w:r>
        <w:rPr>
          <w:rStyle w:val="Refdenotaalfinal"/>
        </w:rPr>
        <w:t>c</w:t>
      </w:r>
      <w:r w:rsidR="00B11621">
        <w:t xml:space="preserve"> Per Brühl il passo “in qua …</w:t>
      </w:r>
      <w:r>
        <w:t xml:space="preserve"> quiescit Donati” è forse un’interpolazione.</w:t>
      </w:r>
    </w:p>
  </w:endnote>
  <w:endnote w:id="8">
    <w:p w14:paraId="219CC7CA" w14:textId="77777777" w:rsidR="00904194" w:rsidRDefault="00904194" w:rsidP="00904194">
      <w:pPr>
        <w:pStyle w:val="Textonotaalfinal"/>
      </w:pPr>
      <w:r>
        <w:rPr>
          <w:rStyle w:val="Refdenotaalfinal"/>
        </w:rPr>
        <w:endnoteRef/>
      </w:r>
      <w:r>
        <w:t xml:space="preserve"> Luperziano, vescovo di Arezzo (711?-720?), Taffi 1986, p. 34-35. Viene citato anche in CDL, I, nn. 19 e 20 (715 giugno 20 e 715 luglio 5); CDL, III/1, n. 12 (715 marzo 6) e Pasqui n. 11 (752 maggio 19).</w:t>
      </w:r>
    </w:p>
  </w:endnote>
  <w:endnote w:id="9">
    <w:p w14:paraId="16A95B64" w14:textId="56FD22CC" w:rsidR="00904194" w:rsidRDefault="00904194" w:rsidP="00904194">
      <w:pPr>
        <w:pStyle w:val="Textonotaalfinal"/>
      </w:pPr>
      <w:r>
        <w:rPr>
          <w:rStyle w:val="Refdenotaalfinal"/>
        </w:rPr>
        <w:t>d</w:t>
      </w:r>
      <w:r>
        <w:t xml:space="preserve"> In Brühl “</w:t>
      </w:r>
      <w:r>
        <w:rPr>
          <w:rFonts w:eastAsia="Times New Roman"/>
        </w:rPr>
        <w:t xml:space="preserve">te”, seguendo la lezione </w:t>
      </w:r>
      <w:r w:rsidR="00B11621">
        <w:rPr>
          <w:rFonts w:eastAsia="Times New Roman"/>
        </w:rPr>
        <w:t>dalla</w:t>
      </w:r>
      <w:r>
        <w:rPr>
          <w:rFonts w:eastAsia="Times New Roman"/>
        </w:rPr>
        <w:t xml:space="preserve"> copia unica del </w:t>
      </w:r>
      <w:r>
        <w:rPr>
          <w:rFonts w:eastAsia="Times New Roman"/>
          <w:i/>
        </w:rPr>
        <w:t>praeceptum</w:t>
      </w:r>
      <w:r>
        <w:rPr>
          <w:rFonts w:eastAsia="Times New Roman"/>
        </w:rPr>
        <w:t xml:space="preserve"> scritta nel X secolo (Canonica, n. 4), in gran parte mutila. Segn</w:t>
      </w:r>
      <w:r w:rsidR="002F7031">
        <w:rPr>
          <w:rFonts w:eastAsia="Times New Roman"/>
        </w:rPr>
        <w:t>ala in nota la presenza in B di</w:t>
      </w:r>
      <w:r>
        <w:rPr>
          <w:rFonts w:eastAsia="Times New Roman"/>
        </w:rPr>
        <w:t xml:space="preserve"> “suprascriptum”.</w:t>
      </w:r>
    </w:p>
  </w:endnote>
  <w:endnote w:id="10">
    <w:p w14:paraId="7A23B7FB" w14:textId="2F0DCDBA" w:rsidR="00904194" w:rsidRDefault="00904194" w:rsidP="00904194">
      <w:pPr>
        <w:pStyle w:val="Textonotaalfinal"/>
      </w:pPr>
      <w:r>
        <w:rPr>
          <w:rStyle w:val="Refdenotaalfinal"/>
        </w:rPr>
        <w:endnoteRef/>
      </w:r>
      <w:r>
        <w:t xml:space="preserve"> Adeodato, cugino del </w:t>
      </w:r>
      <w:r>
        <w:rPr>
          <w:i/>
        </w:rPr>
        <w:t xml:space="preserve">iudex </w:t>
      </w:r>
      <w:r>
        <w:t>regio Godipertus assasinato dagli aretini. Per la notizia dell’uccisione, Rotolo n. 3, pergamena n. III, verso. Adeodato fu eletto vescovo di Siena tra gli anni 713 e 714 poiché, nel 712, la sede senese era vacante, come si può inferire dalla dichiarazione di uno dei testimoni interrogati nell’</w:t>
      </w:r>
      <w:r>
        <w:rPr>
          <w:i/>
        </w:rPr>
        <w:t xml:space="preserve">inquisitio </w:t>
      </w:r>
      <w:r>
        <w:t xml:space="preserve">di Gunteram: </w:t>
      </w:r>
      <w:r>
        <w:rPr>
          <w:rFonts w:eastAsia="Times New Roman"/>
          <w:i/>
        </w:rPr>
        <w:t>Item introductus est Rodoald presbiter senex de baptisterio</w:t>
      </w:r>
      <w:r w:rsidR="00F8005E">
        <w:rPr>
          <w:rFonts w:eastAsia="Times New Roman"/>
          <w:i/>
        </w:rPr>
        <w:t xml:space="preserve"> Sancti Quirici et Iohannis in v</w:t>
      </w:r>
      <w:r>
        <w:rPr>
          <w:rFonts w:eastAsia="Times New Roman"/>
          <w:i/>
        </w:rPr>
        <w:t>ico Pallecino, qui interrogatus dixit:</w:t>
      </w:r>
      <w:r w:rsidR="00F8005E">
        <w:rPr>
          <w:rFonts w:eastAsia="Times New Roman"/>
          <w:i/>
        </w:rPr>
        <w:t xml:space="preserve"> Per ista sancta quattuor Dei ev</w:t>
      </w:r>
      <w:r>
        <w:rPr>
          <w:rFonts w:eastAsia="Times New Roman"/>
          <w:i/>
        </w:rPr>
        <w:t>angelia et ista cr</w:t>
      </w:r>
      <w:r w:rsidR="006E7739">
        <w:rPr>
          <w:rFonts w:eastAsia="Times New Roman"/>
          <w:i/>
        </w:rPr>
        <w:t>ucem Domini, quia cum epistola V</w:t>
      </w:r>
      <w:r w:rsidR="00661C6E">
        <w:rPr>
          <w:rFonts w:eastAsia="Times New Roman"/>
          <w:i/>
        </w:rPr>
        <w:t>uarnefrit ambulav</w:t>
      </w:r>
      <w:r>
        <w:rPr>
          <w:rFonts w:eastAsia="Times New Roman"/>
          <w:i/>
        </w:rPr>
        <w:t xml:space="preserve">i ad Aritio, et per manus Luperciani episcopi sacratus sum, odie annus est tertius, eo quod Sena minime episcopum habebat. </w:t>
      </w:r>
      <w:r>
        <w:t>(CDL, I, n. 19, 715 giugno 20). Il suo pontif</w:t>
      </w:r>
      <w:r w:rsidR="009B7B6A">
        <w:t>icato finì attorno all’anno 730, vid.</w:t>
      </w:r>
      <w:r>
        <w:t xml:space="preserve"> DBI, I, p. 273. Viene citato anche in CDL, I, nn. 19 e 20 (715 giugno 20 e 715 luglio 5); CDL, III/1, n. 12 (715 marzo 6) e Pasqui n. 11 (752 maggio 19).</w:t>
      </w:r>
    </w:p>
  </w:endnote>
  <w:endnote w:id="11">
    <w:p w14:paraId="47562247" w14:textId="667C78F5" w:rsidR="00904194" w:rsidRDefault="00904194" w:rsidP="00904194">
      <w:pPr>
        <w:pStyle w:val="Textonotaalfinal"/>
      </w:pPr>
      <w:r>
        <w:rPr>
          <w:rStyle w:val="Refdenotaalfinal"/>
        </w:rPr>
        <w:endnoteRef/>
      </w:r>
      <w:r>
        <w:t xml:space="preserve"> Località Dofana, comune di Castelnuovo Berardenga. Citata anche in CDL, I, nn. 4 e 19, 20 (650 ca., 715 giugno 20, 715 luglio 5); Pasqui n. 11 (752 maggio 19); </w:t>
      </w:r>
      <w:r w:rsidR="00C43E20" w:rsidRPr="001826B8">
        <w:rPr>
          <w:i/>
        </w:rPr>
        <w:t>ChLA</w:t>
      </w:r>
      <w:r w:rsidR="00C43E20">
        <w:rPr>
          <w:vertAlign w:val="superscript"/>
        </w:rPr>
        <w:t>2</w:t>
      </w:r>
      <w:r w:rsidR="00C43E20">
        <w:t>, X</w:t>
      </w:r>
      <w:r>
        <w:t>C, n</w:t>
      </w:r>
      <w:r w:rsidR="008674B7">
        <w:t>n</w:t>
      </w:r>
      <w:r>
        <w:t>. 1</w:t>
      </w:r>
      <w:r w:rsidR="008674B7">
        <w:t xml:space="preserve"> e 17,</w:t>
      </w:r>
      <w:r>
        <w:t xml:space="preserve"> (801 marzo </w:t>
      </w:r>
      <w:r w:rsidR="00BE1118">
        <w:t>4</w:t>
      </w:r>
      <w:r w:rsidR="008674B7">
        <w:t xml:space="preserve"> e</w:t>
      </w:r>
      <w:r w:rsidR="008674B7" w:rsidRPr="008674B7">
        <w:t xml:space="preserve"> </w:t>
      </w:r>
      <w:r w:rsidR="008674B7">
        <w:t>marzo 881).</w:t>
      </w:r>
    </w:p>
  </w:endnote>
  <w:endnote w:id="12">
    <w:p w14:paraId="4E6DCEA4" w14:textId="0C85419A" w:rsidR="00904194" w:rsidRDefault="00904194" w:rsidP="00904194">
      <w:pPr>
        <w:pStyle w:val="Textonotaalfinal"/>
      </w:pPr>
      <w:r>
        <w:rPr>
          <w:rStyle w:val="Refdenotaalfinal"/>
        </w:rPr>
        <w:endnoteRef/>
      </w:r>
      <w:r w:rsidR="00F058B0">
        <w:t xml:space="preserve"> Santo</w:t>
      </w:r>
      <w:r>
        <w:t xml:space="preserve"> Stefano a Cennano, nella frazione Castelmuzio, comune di Trequanda</w:t>
      </w:r>
      <w:r w:rsidR="00D258B1">
        <w:t>, Tafi 1998</w:t>
      </w:r>
      <w:r w:rsidR="00D258B1">
        <w:rPr>
          <w:i/>
        </w:rPr>
        <w:t xml:space="preserve">, </w:t>
      </w:r>
      <w:r w:rsidR="00D258B1">
        <w:t>pp. 295-298</w:t>
      </w:r>
      <w:r>
        <w:t>. Questa pieve viene citata anche in CDL, I, nn. 17, 19 e 20 (agosto 714, 715 giugno 20, 715 luglio 5</w:t>
      </w:r>
      <w:r w:rsidR="00A47EDF">
        <w:t>); Manaresi, n. 53 (aprile 850) e</w:t>
      </w:r>
      <w:r>
        <w:t xml:space="preserve"> </w:t>
      </w:r>
      <w:r w:rsidR="00B15FA1" w:rsidRPr="001826B8">
        <w:rPr>
          <w:i/>
        </w:rPr>
        <w:t>ChLA</w:t>
      </w:r>
      <w:r w:rsidR="00B15FA1">
        <w:rPr>
          <w:vertAlign w:val="superscript"/>
        </w:rPr>
        <w:t>2</w:t>
      </w:r>
      <w:r w:rsidR="001D7D4D">
        <w:t>, X</w:t>
      </w:r>
      <w:r>
        <w:t>C, n. 17 (marzo 881).</w:t>
      </w:r>
    </w:p>
  </w:endnote>
  <w:endnote w:id="13">
    <w:p w14:paraId="659D430A" w14:textId="7C3A89C8" w:rsidR="00904194" w:rsidRDefault="00904194" w:rsidP="00904194">
      <w:pPr>
        <w:pStyle w:val="Textonotaalfinal"/>
      </w:pPr>
      <w:r>
        <w:rPr>
          <w:rStyle w:val="Refdenotaalfinal"/>
        </w:rPr>
        <w:endnoteRef/>
      </w:r>
      <w:r>
        <w:t xml:space="preserve"> Santa Maria in Pàcina, comune di Castelnuovo Berardenga</w:t>
      </w:r>
      <w:r w:rsidR="00391ACF">
        <w:t xml:space="preserve">, </w:t>
      </w:r>
      <w:r w:rsidR="00391ACF" w:rsidRPr="005B24F7">
        <w:t>Tafi 1998</w:t>
      </w:r>
      <w:r w:rsidR="00391ACF">
        <w:rPr>
          <w:i/>
        </w:rPr>
        <w:t xml:space="preserve">, </w:t>
      </w:r>
      <w:r w:rsidR="00391ACF">
        <w:t>pp. 267-270</w:t>
      </w:r>
      <w:r>
        <w:t>. Questa pieve viene citata anche in CDL, I, nn. 4, 17, 19 e 20 (650 ca., agosto 71</w:t>
      </w:r>
      <w:r w:rsidR="009E75E6">
        <w:t>4, 715 giugno 20, 715 luglio 5) e</w:t>
      </w:r>
      <w:r>
        <w:t xml:space="preserve"> </w:t>
      </w:r>
      <w:r w:rsidR="00B15FA1" w:rsidRPr="001826B8">
        <w:rPr>
          <w:i/>
        </w:rPr>
        <w:t>ChLA</w:t>
      </w:r>
      <w:r w:rsidR="00B15FA1">
        <w:rPr>
          <w:vertAlign w:val="superscript"/>
        </w:rPr>
        <w:t>2</w:t>
      </w:r>
      <w:r w:rsidR="00F07FBE">
        <w:t>, X</w:t>
      </w:r>
      <w:r>
        <w:t>C, n. 17 (marzo 881).</w:t>
      </w:r>
    </w:p>
  </w:endnote>
  <w:endnote w:id="14">
    <w:p w14:paraId="5D21D230" w14:textId="51448339" w:rsidR="00904194" w:rsidRDefault="00904194" w:rsidP="00904194">
      <w:pPr>
        <w:pStyle w:val="Textonotaalfinal"/>
      </w:pPr>
      <w:r>
        <w:rPr>
          <w:rStyle w:val="Refdenotaalfinal"/>
        </w:rPr>
        <w:endnoteRef/>
      </w:r>
      <w:r>
        <w:t xml:space="preserve"> </w:t>
      </w:r>
      <w:r w:rsidR="00E41EDF">
        <w:t>San</w:t>
      </w:r>
      <w:r w:rsidR="00234368">
        <w:t xml:space="preserve"> Polito ad Asciano (Siena), </w:t>
      </w:r>
      <w:r w:rsidR="00234368" w:rsidRPr="005B24F7">
        <w:t>Tafi 1998,</w:t>
      </w:r>
      <w:r w:rsidR="00234368">
        <w:rPr>
          <w:i/>
        </w:rPr>
        <w:t xml:space="preserve"> </w:t>
      </w:r>
      <w:r w:rsidR="00234368">
        <w:t xml:space="preserve">pp. 281-286. Maroni e Moretti lo situano a San Pòlito, fuori Asciano, (Maroni 1973, p. 204 e Moretti 2007, p. 202 nt. 26). </w:t>
      </w:r>
      <w:r>
        <w:t>Viene citata anche in CDL, I, nn. 19 e 2</w:t>
      </w:r>
      <w:r w:rsidR="004E539B">
        <w:t>0 (715 giugno 20, 715 luglio 5)</w:t>
      </w:r>
      <w:r>
        <w:t xml:space="preserve"> e </w:t>
      </w:r>
      <w:r w:rsidR="00B15FA1" w:rsidRPr="001826B8">
        <w:rPr>
          <w:i/>
        </w:rPr>
        <w:t>ChLA</w:t>
      </w:r>
      <w:r w:rsidR="00B15FA1">
        <w:rPr>
          <w:vertAlign w:val="superscript"/>
        </w:rPr>
        <w:t>2</w:t>
      </w:r>
      <w:r w:rsidR="00842F2F">
        <w:t>, X</w:t>
      </w:r>
      <w:r>
        <w:t>C, n. 17 (marzo 881).</w:t>
      </w:r>
    </w:p>
  </w:endnote>
  <w:endnote w:id="15">
    <w:p w14:paraId="7589696E" w14:textId="3ECE00B4" w:rsidR="00904194" w:rsidRDefault="00904194" w:rsidP="00904194">
      <w:pPr>
        <w:pStyle w:val="Textonotaalfinal"/>
      </w:pPr>
      <w:r>
        <w:rPr>
          <w:rStyle w:val="Refdenotaalfinal"/>
        </w:rPr>
        <w:endnoteRef/>
      </w:r>
      <w:r w:rsidR="007D6BB6">
        <w:t xml:space="preserve"> </w:t>
      </w:r>
      <w:r w:rsidR="007E33C9">
        <w:t xml:space="preserve">San Giovanni in Rancia, detto poi San Giovanni in Vescona, nell’odierna località di Pievina di San Giovanni, frazione di Asciano, </w:t>
      </w:r>
      <w:r w:rsidR="007E33C9" w:rsidRPr="005B24F7">
        <w:t>Tafi 1998,</w:t>
      </w:r>
      <w:r w:rsidR="007E33C9">
        <w:rPr>
          <w:i/>
        </w:rPr>
        <w:t xml:space="preserve"> </w:t>
      </w:r>
      <w:r w:rsidR="007E33C9">
        <w:t xml:space="preserve">pp. 278-280. Questa pieve viene citata anche in CDL, I, nn. 4, </w:t>
      </w:r>
      <w:r w:rsidR="00221C4D">
        <w:t xml:space="preserve">17, </w:t>
      </w:r>
      <w:r w:rsidR="007E33C9">
        <w:t xml:space="preserve">19 e 20 (650 ca., </w:t>
      </w:r>
      <w:r w:rsidR="00221C4D">
        <w:t xml:space="preserve">agosto 714, </w:t>
      </w:r>
      <w:r w:rsidR="007E33C9">
        <w:t>715 giugno 20 e 715 luglio 5</w:t>
      </w:r>
      <w:r w:rsidR="002B43C3">
        <w:t xml:space="preserve">) </w:t>
      </w:r>
      <w:r w:rsidR="007E33C9">
        <w:t xml:space="preserve">e </w:t>
      </w:r>
      <w:r w:rsidR="00B15FA1" w:rsidRPr="001826B8">
        <w:rPr>
          <w:i/>
        </w:rPr>
        <w:t>ChLA</w:t>
      </w:r>
      <w:r w:rsidR="00B15FA1">
        <w:rPr>
          <w:vertAlign w:val="superscript"/>
        </w:rPr>
        <w:t>2</w:t>
      </w:r>
      <w:r w:rsidR="007E33C9">
        <w:rPr>
          <w:vertAlign w:val="superscript"/>
        </w:rPr>
        <w:t xml:space="preserve">  </w:t>
      </w:r>
      <w:r w:rsidR="007E33C9">
        <w:t>XC, n. 17 (marzo 881).</w:t>
      </w:r>
    </w:p>
  </w:endnote>
  <w:endnote w:id="16">
    <w:p w14:paraId="339E93AD" w14:textId="692ADDD8" w:rsidR="00904194" w:rsidRDefault="00904194" w:rsidP="00904194">
      <w:pPr>
        <w:pStyle w:val="Textonotaalfinal"/>
      </w:pPr>
      <w:r>
        <w:rPr>
          <w:rStyle w:val="Refdenotaalfinal"/>
        </w:rPr>
        <w:endnoteRef/>
      </w:r>
      <w:r>
        <w:t xml:space="preserve"> Luco di Chiusure, in val d’Ombrone, Repetti 1833, vol. I, p. 730. Fondata da Zotto</w:t>
      </w:r>
      <w:r w:rsidR="00BA6A33">
        <w:t>,</w:t>
      </w:r>
      <w:r>
        <w:t xml:space="preserve"> viene citata anche in CDL, I, nn. 17, 19 e 20 (agosto 714, 715 giugno 20 e 715 luglio 5).</w:t>
      </w:r>
    </w:p>
  </w:endnote>
  <w:endnote w:id="17">
    <w:p w14:paraId="65943148" w14:textId="4940FD39" w:rsidR="00904194" w:rsidRDefault="00904194" w:rsidP="00904194">
      <w:pPr>
        <w:pStyle w:val="Textonotaalfinal"/>
      </w:pPr>
      <w:r>
        <w:rPr>
          <w:rStyle w:val="Refdenotaalfinal"/>
        </w:rPr>
        <w:endnoteRef/>
      </w:r>
      <w:r w:rsidR="005610F5">
        <w:t xml:space="preserve"> </w:t>
      </w:r>
      <w:r w:rsidR="00E47A4E">
        <w:t>Sant’Andrea in Malcino, chiesa di localizzazione controversa: nei pressi di Montalcino per Schia</w:t>
      </w:r>
      <w:r w:rsidR="003015F1">
        <w:t xml:space="preserve">parelli (CDL, I, p. 49 nt. 4); </w:t>
      </w:r>
      <w:r w:rsidR="00E47A4E">
        <w:t xml:space="preserve">nei pressi di Trequanda per </w:t>
      </w:r>
      <w:r w:rsidR="00E47A4E" w:rsidRPr="005B24F7">
        <w:t>Tafi 1998,</w:t>
      </w:r>
      <w:r w:rsidR="00E47A4E">
        <w:rPr>
          <w:i/>
        </w:rPr>
        <w:t xml:space="preserve"> </w:t>
      </w:r>
      <w:r w:rsidR="00E47A4E">
        <w:t>pp. 291-294. Nel podere Pieve, comune di Trequanda per Maroni 1973, p. 204-205 e Moretti 2007, p. 203 nota 26. Questa pieve viene citata anche in CDL, I, nn. 17</w:t>
      </w:r>
      <w:r w:rsidR="00B51DAC">
        <w:t>, 19</w:t>
      </w:r>
      <w:r w:rsidR="00E47A4E">
        <w:t xml:space="preserve"> e 20 (agosto 714</w:t>
      </w:r>
      <w:r w:rsidR="00C513A0">
        <w:t>, 715 giugno 20</w:t>
      </w:r>
      <w:r w:rsidR="00DB604E">
        <w:t xml:space="preserve"> e</w:t>
      </w:r>
      <w:r w:rsidR="00E47A4E">
        <w:t xml:space="preserve"> 715 luglio 5</w:t>
      </w:r>
      <w:r w:rsidR="003015F1">
        <w:t>); Manaresi, n. 53 (aprile 850) e</w:t>
      </w:r>
      <w:r w:rsidR="00E47A4E">
        <w:t xml:space="preserve"> </w:t>
      </w:r>
      <w:r w:rsidR="00B15FA1" w:rsidRPr="001826B8">
        <w:rPr>
          <w:i/>
        </w:rPr>
        <w:t>ChLA</w:t>
      </w:r>
      <w:r w:rsidR="00B15FA1">
        <w:rPr>
          <w:vertAlign w:val="superscript"/>
        </w:rPr>
        <w:t>2</w:t>
      </w:r>
      <w:r w:rsidR="00E47A4E">
        <w:t>, XC, n. 17 (marzo 881).</w:t>
      </w:r>
    </w:p>
  </w:endnote>
  <w:endnote w:id="18">
    <w:p w14:paraId="01338468" w14:textId="624F315B" w:rsidR="00904194" w:rsidRDefault="00904194" w:rsidP="00904194">
      <w:pPr>
        <w:pStyle w:val="Textonotaalfinal"/>
      </w:pPr>
      <w:r>
        <w:rPr>
          <w:rStyle w:val="Refdenotaalfinal"/>
        </w:rPr>
        <w:endnoteRef/>
      </w:r>
      <w:r>
        <w:t xml:space="preserve"> San Pietro a Pava, edificio scomparso, recentemente scavato situato a Pieve a Pava, nel comune di San Giovanni d’Asso, </w:t>
      </w:r>
      <w:r w:rsidR="001F4BB4">
        <w:t xml:space="preserve">vid. </w:t>
      </w:r>
      <w:r>
        <w:t xml:space="preserve">S. Campana, C. Felici, B. Frezza 2012, pp. 463-480. Questa pieve viene citata anche in CDL, I, nn. 19 e 20 </w:t>
      </w:r>
      <w:r w:rsidR="006814B2">
        <w:t>(715 giugno 20 e 715 luglio 5); Manaresi, n. 53 (aprile 850) e</w:t>
      </w:r>
      <w:r>
        <w:t xml:space="preserve"> </w:t>
      </w:r>
      <w:r w:rsidR="00B15FA1" w:rsidRPr="001826B8">
        <w:rPr>
          <w:i/>
        </w:rPr>
        <w:t>ChLA</w:t>
      </w:r>
      <w:r w:rsidR="00B15FA1">
        <w:rPr>
          <w:vertAlign w:val="superscript"/>
        </w:rPr>
        <w:t>2</w:t>
      </w:r>
      <w:r w:rsidR="00A53F82">
        <w:t>, X</w:t>
      </w:r>
      <w:r>
        <w:t>C, n. 17 (marzo 881).</w:t>
      </w:r>
    </w:p>
  </w:endnote>
  <w:endnote w:id="19">
    <w:p w14:paraId="306B36D0" w14:textId="19E3FEF8" w:rsidR="00904194" w:rsidRDefault="00904194" w:rsidP="00904194">
      <w:pPr>
        <w:pStyle w:val="Textonotaalfinal"/>
      </w:pPr>
      <w:r>
        <w:rPr>
          <w:rStyle w:val="Refdenotaalfinal"/>
        </w:rPr>
        <w:endnoteRef/>
      </w:r>
      <w:r w:rsidR="002A50BB">
        <w:t xml:space="preserve"> </w:t>
      </w:r>
      <w:r w:rsidR="003254B5">
        <w:t>Santa Maria in Cosona, nei pre</w:t>
      </w:r>
      <w:r w:rsidR="009A4236">
        <w:t>ssi della successiva pieve di San</w:t>
      </w:r>
      <w:r w:rsidR="003254B5">
        <w:t xml:space="preserve"> Lorentino (Moretti 2007, p. 202) in val d’Orcia, Repetti 1843, vol. I, p. 837. Per Tafi da situare a Pienza (Siena), </w:t>
      </w:r>
      <w:r w:rsidR="003254B5" w:rsidRPr="005B24F7">
        <w:t>Tafi 1998,</w:t>
      </w:r>
      <w:r w:rsidR="003254B5">
        <w:rPr>
          <w:i/>
        </w:rPr>
        <w:t xml:space="preserve"> </w:t>
      </w:r>
      <w:r w:rsidR="003254B5">
        <w:t>pp. 320-323. Di questa pieve dipendevano i monasteri di San Pietro ad Abso e San Donato in Citiliano (CDL, I, n. 19, 715 giugno 20). Viene citata anche in CDL, I, n</w:t>
      </w:r>
      <w:r w:rsidR="007474C9">
        <w:t>n</w:t>
      </w:r>
      <w:r w:rsidR="003254B5">
        <w:t>. 17 e 20 (agosto 714 e 715 luglio 5); Manaresi, n. 53 (aprile 850</w:t>
      </w:r>
      <w:r w:rsidR="00B93837">
        <w:t>)</w:t>
      </w:r>
      <w:r w:rsidR="00E900EE">
        <w:t xml:space="preserve"> e</w:t>
      </w:r>
      <w:r>
        <w:t xml:space="preserve"> </w:t>
      </w:r>
      <w:r w:rsidR="00B15FA1" w:rsidRPr="001826B8">
        <w:rPr>
          <w:i/>
        </w:rPr>
        <w:t>ChLA</w:t>
      </w:r>
      <w:r w:rsidR="00B15FA1">
        <w:rPr>
          <w:vertAlign w:val="superscript"/>
        </w:rPr>
        <w:t>2</w:t>
      </w:r>
      <w:r w:rsidR="0013369C">
        <w:t>, X</w:t>
      </w:r>
      <w:r>
        <w:t>C, n. 17 (marzo 881).</w:t>
      </w:r>
    </w:p>
  </w:endnote>
  <w:endnote w:id="20">
    <w:p w14:paraId="1C22A9C6" w14:textId="0D625506" w:rsidR="00904194" w:rsidRDefault="00904194" w:rsidP="00904194">
      <w:pPr>
        <w:pStyle w:val="Textonotaalfinal"/>
      </w:pPr>
      <w:r>
        <w:rPr>
          <w:rStyle w:val="Refdenotaalfinal"/>
        </w:rPr>
        <w:endnoteRef/>
      </w:r>
      <w:r w:rsidR="002924A0">
        <w:t xml:space="preserve"> </w:t>
      </w:r>
      <w:r w:rsidR="00621BC3">
        <w:t xml:space="preserve">Per Maroni si tratta anche della stessa chiesa di San Quirico d’Orcia, Maroni 1973, p. 210 (vid. anche Repetti 1843, vol. V, p. 112). Per Moretti, invece, la chiesa </w:t>
      </w:r>
      <w:r w:rsidR="00621BC3">
        <w:rPr>
          <w:i/>
        </w:rPr>
        <w:t>in vico Falcino/Palcina</w:t>
      </w:r>
      <w:r w:rsidR="00621BC3">
        <w:t xml:space="preserve"> sorgeva sul podere Pievecchia, nei pressi di Montalcino (Moretti 2007, p. 203). La pieve viene citata anche in CDL, I, n</w:t>
      </w:r>
      <w:r w:rsidR="00071594">
        <w:t>n</w:t>
      </w:r>
      <w:r w:rsidR="00621BC3">
        <w:t>. 19</w:t>
      </w:r>
      <w:r w:rsidR="00071594">
        <w:t xml:space="preserve"> e 20</w:t>
      </w:r>
      <w:r w:rsidR="00621BC3">
        <w:t xml:space="preserve"> (715 giugno 20</w:t>
      </w:r>
      <w:r w:rsidR="00071594">
        <w:t xml:space="preserve"> e 715 luglio 5</w:t>
      </w:r>
      <w:r w:rsidR="00830D67">
        <w:t>)</w:t>
      </w:r>
      <w:r w:rsidR="00621BC3">
        <w:t xml:space="preserve"> e </w:t>
      </w:r>
      <w:r w:rsidR="00B15FA1" w:rsidRPr="001826B8">
        <w:rPr>
          <w:i/>
        </w:rPr>
        <w:t>ChLA</w:t>
      </w:r>
      <w:r w:rsidR="00B15FA1">
        <w:rPr>
          <w:vertAlign w:val="superscript"/>
        </w:rPr>
        <w:t>2</w:t>
      </w:r>
      <w:r w:rsidR="00621BC3">
        <w:t>, XC, n. 17 (marzo 881).</w:t>
      </w:r>
    </w:p>
  </w:endnote>
  <w:endnote w:id="21">
    <w:p w14:paraId="78D7D898" w14:textId="789D1DE4" w:rsidR="00904194" w:rsidRDefault="00904194" w:rsidP="00904194">
      <w:pPr>
        <w:pStyle w:val="Textonotaalfinal"/>
      </w:pPr>
      <w:r>
        <w:rPr>
          <w:rStyle w:val="Refdenotaalfinal"/>
        </w:rPr>
        <w:endnoteRef/>
      </w:r>
      <w:r w:rsidR="0060048F">
        <w:t xml:space="preserve"> Pieve Santa</w:t>
      </w:r>
      <w:r>
        <w:t xml:space="preserve"> Restituta nel territorio di Montalcino, Tafi 1972, p. 204-208. Questa pieve viene citata anche in CDL, I, nn. 4, 17, 19 e 20 (650 ca., agosto 714, 715 giugno 20, 715 luglio 5); </w:t>
      </w:r>
      <w:r w:rsidR="00B15FA1" w:rsidRPr="001826B8">
        <w:rPr>
          <w:i/>
        </w:rPr>
        <w:t>ChLA</w:t>
      </w:r>
      <w:r w:rsidR="00B15FA1">
        <w:rPr>
          <w:vertAlign w:val="superscript"/>
        </w:rPr>
        <w:t>2</w:t>
      </w:r>
      <w:r w:rsidR="00551168">
        <w:t>, X</w:t>
      </w:r>
      <w:r>
        <w:t>C, n. 17 (marzo 881).</w:t>
      </w:r>
    </w:p>
  </w:endnote>
  <w:endnote w:id="22">
    <w:p w14:paraId="0B9D489A" w14:textId="6967796C" w:rsidR="00904194" w:rsidRDefault="00904194" w:rsidP="00904194">
      <w:pPr>
        <w:pStyle w:val="Textonotaalfinal"/>
      </w:pPr>
      <w:r>
        <w:rPr>
          <w:rStyle w:val="Refdenotaalfinal"/>
        </w:rPr>
        <w:endnoteRef/>
      </w:r>
      <w:r>
        <w:t xml:space="preserve"> San Felice in Avana o in Avena, nel Chianti, Maroni 1973, p. 208 e Moretti 2007, p. 203. </w:t>
      </w:r>
      <w:r w:rsidR="00617AFF">
        <w:t>Secondo</w:t>
      </w:r>
      <w:r>
        <w:t xml:space="preserve"> Tafi si tratta invece di S. Felice </w:t>
      </w:r>
      <w:r w:rsidRPr="008409EB">
        <w:rPr>
          <w:i/>
        </w:rPr>
        <w:t>in Pincis</w:t>
      </w:r>
      <w:r>
        <w:t xml:space="preserve">, presso Castelnuovo </w:t>
      </w:r>
      <w:r w:rsidR="00231009">
        <w:t>Berardenga, (Tafi 1972, p. 174)</w:t>
      </w:r>
      <w:r>
        <w:t xml:space="preserve">. Questa pieve viene citata anche in CDL, I, nn. </w:t>
      </w:r>
      <w:r w:rsidR="00D42DD7">
        <w:t xml:space="preserve">17, </w:t>
      </w:r>
      <w:r>
        <w:t>19 e 20 (</w:t>
      </w:r>
      <w:r w:rsidR="00D42DD7">
        <w:t xml:space="preserve">agosto 714, </w:t>
      </w:r>
      <w:r>
        <w:t xml:space="preserve">715 giugno 20 e 715 luglio 5) e </w:t>
      </w:r>
      <w:r w:rsidR="00B15FA1" w:rsidRPr="001826B8">
        <w:rPr>
          <w:i/>
        </w:rPr>
        <w:t>ChLA</w:t>
      </w:r>
      <w:r w:rsidR="00B15FA1">
        <w:rPr>
          <w:vertAlign w:val="superscript"/>
        </w:rPr>
        <w:t>2</w:t>
      </w:r>
      <w:r w:rsidR="00303316">
        <w:t>, X</w:t>
      </w:r>
      <w:r>
        <w:t>C, n. 17 (marzo 881).</w:t>
      </w:r>
    </w:p>
  </w:endnote>
  <w:endnote w:id="23">
    <w:p w14:paraId="2BF7041A" w14:textId="34BE203E" w:rsidR="00904194" w:rsidRDefault="00904194" w:rsidP="00904194">
      <w:pPr>
        <w:pStyle w:val="Textonotaalfinal"/>
      </w:pPr>
      <w:r>
        <w:rPr>
          <w:rStyle w:val="Refdenotaalfinal"/>
        </w:rPr>
        <w:endnoteRef/>
      </w:r>
      <w:r>
        <w:t xml:space="preserve"> </w:t>
      </w:r>
      <w:r w:rsidR="00B20417">
        <w:t xml:space="preserve">Identificazione incerta: </w:t>
      </w:r>
      <w:r w:rsidR="00EB167E">
        <w:t xml:space="preserve">per Schiaparelli è </w:t>
      </w:r>
      <w:r w:rsidR="00B20417">
        <w:t xml:space="preserve">da situare a Matrichese, nei pressi di Montalcino, (CDL, I, p. 79, nt. 15). Per Moroni, invece, si tratta della pieve di Sinalunga, Moroni 1973, pp. 27-28. Viene citata anche </w:t>
      </w:r>
      <w:r>
        <w:t>in CDL, I, nn. 17, 19 e 20 (agosto 71</w:t>
      </w:r>
      <w:r w:rsidR="00B20417">
        <w:t xml:space="preserve">4, 715 giugno 20, 715 luglio 5) e </w:t>
      </w:r>
      <w:r w:rsidR="009A0E69" w:rsidRPr="001826B8">
        <w:rPr>
          <w:i/>
        </w:rPr>
        <w:t>ChLA</w:t>
      </w:r>
      <w:r w:rsidR="009A0E69">
        <w:rPr>
          <w:vertAlign w:val="superscript"/>
        </w:rPr>
        <w:t>2</w:t>
      </w:r>
      <w:r w:rsidR="00B20417">
        <w:t>, XC, n. 17 (marzo 881).</w:t>
      </w:r>
    </w:p>
  </w:endnote>
  <w:endnote w:id="24">
    <w:p w14:paraId="3E653036" w14:textId="5FA1D545" w:rsidR="00904194" w:rsidRDefault="00904194" w:rsidP="00904194">
      <w:pPr>
        <w:pStyle w:val="Textonotaalfinal"/>
      </w:pPr>
      <w:r>
        <w:rPr>
          <w:rStyle w:val="Refdenotaalfinal"/>
        </w:rPr>
        <w:endnoteRef/>
      </w:r>
      <w:r w:rsidR="00525D2C">
        <w:t xml:space="preserve"> </w:t>
      </w:r>
      <w:r w:rsidR="003916A6">
        <w:t xml:space="preserve">San Valentino in </w:t>
      </w:r>
      <w:r w:rsidR="003916A6" w:rsidRPr="00347891">
        <w:rPr>
          <w:i/>
        </w:rPr>
        <w:t>Casale Ursino</w:t>
      </w:r>
      <w:r w:rsidR="003916A6">
        <w:t xml:space="preserve">, oggi Montefollonico, frazione del comune di Torrita di Siena, Repetti 1843, vol.  III, p. 392, </w:t>
      </w:r>
      <w:r w:rsidR="003916A6" w:rsidRPr="005B24F7">
        <w:t>Tafi 1998,</w:t>
      </w:r>
      <w:r w:rsidR="003916A6">
        <w:rPr>
          <w:i/>
        </w:rPr>
        <w:t xml:space="preserve"> </w:t>
      </w:r>
      <w:r w:rsidR="003916A6">
        <w:t>pp. 331-333.</w:t>
      </w:r>
      <w:r w:rsidR="003916A6">
        <w:rPr>
          <w:rFonts w:eastAsia="Times New Roman"/>
        </w:rPr>
        <w:t xml:space="preserve"> </w:t>
      </w:r>
      <w:r>
        <w:t xml:space="preserve">Questa pieve viene citata anche in CDL, I, nn. 17, 19 20 (agosto 714, 715 giugno 20 e 715 luglio 5) e </w:t>
      </w:r>
      <w:r w:rsidR="009A0E69" w:rsidRPr="001826B8">
        <w:rPr>
          <w:i/>
        </w:rPr>
        <w:t>ChLA</w:t>
      </w:r>
      <w:r w:rsidR="009A0E69">
        <w:rPr>
          <w:vertAlign w:val="superscript"/>
        </w:rPr>
        <w:t>2</w:t>
      </w:r>
      <w:r w:rsidR="003C08D5">
        <w:t>, X</w:t>
      </w:r>
      <w:r>
        <w:t>C, n. 17 (marzo 881).</w:t>
      </w:r>
    </w:p>
  </w:endnote>
  <w:endnote w:id="25">
    <w:p w14:paraId="4AF76E7E" w14:textId="616EA789" w:rsidR="00904194" w:rsidRDefault="00904194" w:rsidP="00904194">
      <w:pPr>
        <w:pStyle w:val="Textonotaalfinal"/>
      </w:pPr>
      <w:r>
        <w:rPr>
          <w:rStyle w:val="Refdenotaalfinal"/>
        </w:rPr>
        <w:endnoteRef/>
      </w:r>
      <w:r w:rsidR="00D83CEA">
        <w:t xml:space="preserve"> Podere San</w:t>
      </w:r>
      <w:r>
        <w:t xml:space="preserve"> Piero, comune di Montalcino, Hobart et alii 2012, p. 189. Fo</w:t>
      </w:r>
      <w:r w:rsidR="00ED6942">
        <w:t>ndato dal re longobardo Aripert, ma g</w:t>
      </w:r>
      <w:r>
        <w:t xml:space="preserve">li scarsi dati forniti dalle carte impediscono di identificare con sicurezza il re fondatore del </w:t>
      </w:r>
      <w:r>
        <w:rPr>
          <w:i/>
        </w:rPr>
        <w:t>monasterium</w:t>
      </w:r>
      <w:r>
        <w:t xml:space="preserve"> tra Aripert (653-661) e Aripert II (700-712). Il monasterio viene citato anche in CDL, I, nn. 17, 19 e 20 (agosto 714, 715 giugno 20, 715 luglio 5); </w:t>
      </w:r>
      <w:r w:rsidR="009A0E69" w:rsidRPr="001826B8">
        <w:rPr>
          <w:i/>
        </w:rPr>
        <w:t>ChLA</w:t>
      </w:r>
      <w:r w:rsidR="009A0E69">
        <w:rPr>
          <w:vertAlign w:val="superscript"/>
        </w:rPr>
        <w:t>2</w:t>
      </w:r>
      <w:r>
        <w:rPr>
          <w:rFonts w:eastAsia="Times New Roman"/>
        </w:rPr>
        <w:t>, XC, nn. 5 e 17 (833 ottobre 5 e marzo 881).</w:t>
      </w:r>
    </w:p>
  </w:endnote>
  <w:endnote w:id="26">
    <w:p w14:paraId="1156C0AD" w14:textId="64C2A228" w:rsidR="00904194" w:rsidRDefault="00904194" w:rsidP="00904194">
      <w:pPr>
        <w:pStyle w:val="Textonotaalfinal"/>
      </w:pPr>
      <w:r>
        <w:rPr>
          <w:rStyle w:val="Refdenotaalfinal"/>
        </w:rPr>
        <w:t>e</w:t>
      </w:r>
      <w:r>
        <w:t xml:space="preserve"> In Brühl “</w:t>
      </w:r>
      <w:r w:rsidR="008142C9">
        <w:rPr>
          <w:rFonts w:eastAsia="Times New Roman"/>
        </w:rPr>
        <w:t xml:space="preserve">Axo” seguendo la lezione della </w:t>
      </w:r>
      <w:r>
        <w:rPr>
          <w:rFonts w:eastAsia="Times New Roman"/>
        </w:rPr>
        <w:t xml:space="preserve">copia del </w:t>
      </w:r>
      <w:r>
        <w:rPr>
          <w:rFonts w:eastAsia="Times New Roman"/>
          <w:i/>
        </w:rPr>
        <w:t>praeceptum</w:t>
      </w:r>
      <w:r>
        <w:rPr>
          <w:rFonts w:eastAsia="Times New Roman"/>
        </w:rPr>
        <w:t xml:space="preserve"> scritta nel X secolo (Canonica, n. 4), in gran parte mutila. Segnala in nota la presenza in B della forma “Abso”.</w:t>
      </w:r>
    </w:p>
  </w:endnote>
  <w:endnote w:id="27">
    <w:p w14:paraId="482A6BB6" w14:textId="3A878F7C" w:rsidR="00904194" w:rsidRDefault="00904194" w:rsidP="00904194">
      <w:pPr>
        <w:pStyle w:val="Textonotaalfinal"/>
      </w:pPr>
      <w:r>
        <w:rPr>
          <w:rStyle w:val="Refdenotaalfinal"/>
        </w:rPr>
        <w:endnoteRef/>
      </w:r>
      <w:r>
        <w:t xml:space="preserve"> Pieve di Corsignano, </w:t>
      </w:r>
      <w:r w:rsidR="00E96558">
        <w:t xml:space="preserve">nel </w:t>
      </w:r>
      <w:r>
        <w:t>comune di Pienza</w:t>
      </w:r>
      <w:r w:rsidR="00244BD3">
        <w:t>,</w:t>
      </w:r>
      <w:r w:rsidR="00244BD3" w:rsidRPr="0065014F">
        <w:t xml:space="preserve"> </w:t>
      </w:r>
      <w:r w:rsidR="00244BD3" w:rsidRPr="005B24F7">
        <w:t>Tafi 1998,</w:t>
      </w:r>
      <w:r w:rsidR="00244BD3">
        <w:rPr>
          <w:i/>
        </w:rPr>
        <w:t xml:space="preserve"> </w:t>
      </w:r>
      <w:r w:rsidR="00244BD3">
        <w:t>pp. 327-330</w:t>
      </w:r>
      <w:r>
        <w:t>. Viene citata anche in CDL, I, nn. 17, 19 e 20 (agosto 714, 715 giugno 20, 715 luglio 5</w:t>
      </w:r>
      <w:r w:rsidR="00D65EA1">
        <w:t>); Manaresi, n. 53 (aprile 850) e</w:t>
      </w:r>
      <w:r>
        <w:t xml:space="preserve"> </w:t>
      </w:r>
      <w:r w:rsidRPr="008B3D68">
        <w:rPr>
          <w:i/>
        </w:rPr>
        <w:t>ChLA</w:t>
      </w:r>
      <w:r>
        <w:rPr>
          <w:vertAlign w:val="superscript"/>
        </w:rPr>
        <w:t>2</w:t>
      </w:r>
      <w:r w:rsidR="00D85EFB">
        <w:t>, X</w:t>
      </w:r>
      <w:r>
        <w:t>C, n. 17 (marzo 881).</w:t>
      </w:r>
    </w:p>
  </w:endnote>
  <w:endnote w:id="28">
    <w:p w14:paraId="1E730E2B" w14:textId="4574814A" w:rsidR="00904194" w:rsidRDefault="00904194" w:rsidP="00904194">
      <w:pPr>
        <w:pStyle w:val="Textonotaalfinal"/>
      </w:pPr>
      <w:r>
        <w:rPr>
          <w:rStyle w:val="Refdenotaalfinal"/>
        </w:rPr>
        <w:endnoteRef/>
      </w:r>
      <w:r>
        <w:t xml:space="preserve"> </w:t>
      </w:r>
      <w:r w:rsidR="00701849">
        <w:t xml:space="preserve">Oggi Montepulciano, in val di Chiana. Moretti </w:t>
      </w:r>
      <w:r w:rsidR="00373DE6">
        <w:t>la identifica con la pieve di San</w:t>
      </w:r>
      <w:r w:rsidR="00701849">
        <w:t xml:space="preserve"> Biagio, in corrispondenza della cinquecen</w:t>
      </w:r>
      <w:r w:rsidR="00363C14">
        <w:t>tesca chiesa della Madonna di San</w:t>
      </w:r>
      <w:r w:rsidR="00701849">
        <w:t xml:space="preserve"> Biagio (Moretti 2007, p. 203, ma anche </w:t>
      </w:r>
      <w:r w:rsidR="00701849" w:rsidRPr="005B24F7">
        <w:t>Tafi 1998,</w:t>
      </w:r>
      <w:r w:rsidR="00701849">
        <w:rPr>
          <w:i/>
        </w:rPr>
        <w:t xml:space="preserve"> </w:t>
      </w:r>
      <w:r w:rsidR="00701849">
        <w:t xml:space="preserve">pp. 343-345). </w:t>
      </w:r>
      <w:r>
        <w:t>Questa pieve viene citata anche in CDL, I, nn. 17, 19 e 20 (agosto 714</w:t>
      </w:r>
      <w:r w:rsidR="00D5618A">
        <w:t>, 715 giugno 20 e 715 luglio 5) e</w:t>
      </w:r>
      <w:r>
        <w:t xml:space="preserve"> </w:t>
      </w:r>
      <w:r w:rsidR="008B3D68" w:rsidRPr="001826B8">
        <w:rPr>
          <w:i/>
        </w:rPr>
        <w:t>ChLA</w:t>
      </w:r>
      <w:r w:rsidR="008B3D68">
        <w:rPr>
          <w:vertAlign w:val="superscript"/>
        </w:rPr>
        <w:t>2</w:t>
      </w:r>
      <w:r w:rsidR="00B77D34">
        <w:t>, X</w:t>
      </w:r>
      <w:r>
        <w:t xml:space="preserve">C, n. 17 (marzo 881). </w:t>
      </w:r>
      <w:r w:rsidR="00431F12">
        <w:t xml:space="preserve">Altre citazioni documentarie della chiesa in </w:t>
      </w:r>
      <w:r w:rsidR="008B3D68" w:rsidRPr="001826B8">
        <w:rPr>
          <w:i/>
        </w:rPr>
        <w:t>ChLA</w:t>
      </w:r>
      <w:r w:rsidR="00431F12">
        <w:t xml:space="preserve">, XXIV, n. 768 (agosto 793) e </w:t>
      </w:r>
      <w:r w:rsidR="008B3D68" w:rsidRPr="001826B8">
        <w:rPr>
          <w:i/>
        </w:rPr>
        <w:t>ChLA</w:t>
      </w:r>
      <w:r w:rsidR="00431F12">
        <w:rPr>
          <w:vertAlign w:val="superscript"/>
        </w:rPr>
        <w:t>2</w:t>
      </w:r>
      <w:r w:rsidR="00431F12">
        <w:t>, LXI, n. 6 (maggio 806).</w:t>
      </w:r>
    </w:p>
  </w:endnote>
  <w:endnote w:id="29">
    <w:p w14:paraId="3EF3546C" w14:textId="2914502C" w:rsidR="00904194" w:rsidRDefault="00904194" w:rsidP="00904194">
      <w:pPr>
        <w:pStyle w:val="Textonotaalfinal"/>
      </w:pPr>
      <w:r>
        <w:rPr>
          <w:rStyle w:val="Refdenotaalfinal"/>
        </w:rPr>
        <w:t>f</w:t>
      </w:r>
      <w:r>
        <w:t xml:space="preserve"> In Brühl, “econtra”, che è la forma corretta da</w:t>
      </w:r>
      <w:r w:rsidR="000F456A">
        <w:t xml:space="preserve"> una</w:t>
      </w:r>
      <w:r>
        <w:t xml:space="preserve"> mano successiva. </w:t>
      </w:r>
    </w:p>
  </w:endnote>
  <w:endnote w:id="30">
    <w:p w14:paraId="17FA940B" w14:textId="77777777" w:rsidR="00904194" w:rsidRDefault="00904194" w:rsidP="00904194">
      <w:pPr>
        <w:pStyle w:val="Textonotaalfinal"/>
      </w:pPr>
      <w:r>
        <w:rPr>
          <w:rStyle w:val="Refdenotaalfinal"/>
        </w:rPr>
        <w:endnoteRef/>
      </w:r>
      <w:r>
        <w:t xml:space="preserve"> Citato anche in CDL I, nn. 19 e 20 (715 giugno 20 e 715 luglio 5).</w:t>
      </w:r>
    </w:p>
  </w:endnote>
  <w:endnote w:id="31">
    <w:p w14:paraId="030E378D" w14:textId="75C93699" w:rsidR="00904194" w:rsidRDefault="00904194" w:rsidP="00904194">
      <w:pPr>
        <w:pStyle w:val="Textonotaalfinal"/>
      </w:pPr>
      <w:r>
        <w:rPr>
          <w:rStyle w:val="Refdenotaalfinal"/>
        </w:rPr>
        <w:endnoteRef/>
      </w:r>
      <w:r w:rsidR="008E260D">
        <w:t xml:space="preserve"> Sugli arimanni v</w:t>
      </w:r>
      <w:r>
        <w:t>. Tabacco 1966 e 1969 e Gasparri 1978, pp. 121-153.</w:t>
      </w:r>
    </w:p>
  </w:endnote>
  <w:endnote w:id="32">
    <w:p w14:paraId="5375CF9F" w14:textId="41010B96" w:rsidR="00904194" w:rsidRDefault="00904194" w:rsidP="00904194">
      <w:pPr>
        <w:pStyle w:val="Textonotaalfinal"/>
      </w:pPr>
      <w:r>
        <w:rPr>
          <w:rStyle w:val="Refdenotaalfinal"/>
        </w:rPr>
        <w:endnoteRef/>
      </w:r>
      <w:r>
        <w:t xml:space="preserve"> </w:t>
      </w:r>
      <w:r w:rsidR="002F668B">
        <w:rPr>
          <w:rFonts w:eastAsia="Times New Roman"/>
        </w:rPr>
        <w:t>Vescovo</w:t>
      </w:r>
      <w:r>
        <w:rPr>
          <w:rFonts w:eastAsia="Times New Roman"/>
        </w:rPr>
        <w:t xml:space="preserve"> di Fiesole. Depone come testimone nell’</w:t>
      </w:r>
      <w:r>
        <w:rPr>
          <w:rFonts w:eastAsia="Times New Roman"/>
          <w:i/>
        </w:rPr>
        <w:t xml:space="preserve">inquisitio </w:t>
      </w:r>
      <w:r>
        <w:rPr>
          <w:rFonts w:eastAsia="Times New Roman"/>
        </w:rPr>
        <w:t>condotta da Gunteram, CDL, I, n. 19 (715 giugno 20) e viene citato anche in CDL, I, n. 20 (715 luglio 5).</w:t>
      </w:r>
    </w:p>
  </w:endnote>
  <w:endnote w:id="33">
    <w:p w14:paraId="69AAF7D4" w14:textId="29B715C1" w:rsidR="00904194" w:rsidRDefault="00904194" w:rsidP="00904194">
      <w:pPr>
        <w:pStyle w:val="Textonotaalfinal"/>
      </w:pPr>
      <w:r>
        <w:rPr>
          <w:rStyle w:val="Refdenotaalfinal"/>
        </w:rPr>
        <w:endnoteRef/>
      </w:r>
      <w:r>
        <w:t xml:space="preserve"> </w:t>
      </w:r>
      <w:r w:rsidR="00C6568D">
        <w:rPr>
          <w:rFonts w:eastAsia="Times New Roman"/>
        </w:rPr>
        <w:t>Vescovo</w:t>
      </w:r>
      <w:r>
        <w:rPr>
          <w:rFonts w:eastAsia="Times New Roman"/>
        </w:rPr>
        <w:t xml:space="preserve"> di Pisa (a. 715 – d. 730). Violante 1970, pp. 3-56 e Sodi 1995, pp. 45-57. Viene citato anche in CDL, I, n. 20 (715 luglio 5).</w:t>
      </w:r>
    </w:p>
  </w:endnote>
  <w:endnote w:id="34">
    <w:p w14:paraId="5EF27487" w14:textId="3B89D1A0" w:rsidR="00904194" w:rsidRDefault="00904194" w:rsidP="00904194">
      <w:pPr>
        <w:pStyle w:val="Textonotaalfinal"/>
      </w:pPr>
      <w:r>
        <w:rPr>
          <w:rStyle w:val="Refdenotaalfinal"/>
        </w:rPr>
        <w:endnoteRef/>
      </w:r>
      <w:r>
        <w:t xml:space="preserve"> </w:t>
      </w:r>
      <w:r w:rsidR="00797902">
        <w:rPr>
          <w:rFonts w:eastAsia="Times New Roman"/>
        </w:rPr>
        <w:t>Vescovo</w:t>
      </w:r>
      <w:r>
        <w:rPr>
          <w:rFonts w:eastAsia="Times New Roman"/>
        </w:rPr>
        <w:t xml:space="preserve"> di Firenze (a. 715 – d. 729). Viene citato anche in CDL, I, n. 20 (715 luglio 5).</w:t>
      </w:r>
    </w:p>
  </w:endnote>
  <w:endnote w:id="35">
    <w:p w14:paraId="166D4A31" w14:textId="47FDECD1" w:rsidR="00904194" w:rsidRDefault="00904194" w:rsidP="00904194">
      <w:pPr>
        <w:pStyle w:val="Textonotaalfinal"/>
      </w:pPr>
      <w:r>
        <w:rPr>
          <w:rStyle w:val="Refdenotaalfinal"/>
        </w:rPr>
        <w:endnoteRef/>
      </w:r>
      <w:r>
        <w:t xml:space="preserve"> </w:t>
      </w:r>
      <w:r w:rsidR="0054314E">
        <w:rPr>
          <w:rFonts w:eastAsia="Times New Roman"/>
        </w:rPr>
        <w:t>Vescovo</w:t>
      </w:r>
      <w:r>
        <w:rPr>
          <w:rFonts w:eastAsia="Times New Roman"/>
        </w:rPr>
        <w:t xml:space="preserve"> di Lucca (713/714 c. – 736 c.). Stoffella 2007, pp. 5-25. Viene citato anche in CDL, I, n. 20 (715 luglio 5).</w:t>
      </w:r>
    </w:p>
  </w:endnote>
  <w:endnote w:id="36">
    <w:p w14:paraId="79C409E5" w14:textId="77777777" w:rsidR="00904194" w:rsidRDefault="00904194" w:rsidP="00904194">
      <w:pPr>
        <w:pStyle w:val="Textonotaalfinal"/>
      </w:pPr>
      <w:r>
        <w:rPr>
          <w:rStyle w:val="Refdenotaalfinal"/>
        </w:rPr>
        <w:endnoteRef/>
      </w:r>
      <w:r>
        <w:t xml:space="preserve"> Città di Castello.</w:t>
      </w:r>
    </w:p>
  </w:endnote>
  <w:endnote w:id="37">
    <w:p w14:paraId="70BC9D0F" w14:textId="7E99A4DC" w:rsidR="00904194" w:rsidRDefault="00904194" w:rsidP="00904194">
      <w:pPr>
        <w:pStyle w:val="Textonotaalfinal"/>
      </w:pPr>
      <w:r>
        <w:rPr>
          <w:rStyle w:val="Refdenotaalfinal"/>
        </w:rPr>
        <w:endnoteRef/>
      </w:r>
      <w:r>
        <w:t xml:space="preserve"> </w:t>
      </w:r>
      <w:r w:rsidR="001318D9">
        <w:t xml:space="preserve">Per una identificazione di questo personaggio, </w:t>
      </w:r>
      <w:r w:rsidR="002F711C">
        <w:t xml:space="preserve">v. </w:t>
      </w:r>
      <w:r>
        <w:t xml:space="preserve">Gasparri </w:t>
      </w:r>
      <w:r w:rsidR="00603E47">
        <w:t>1978, n. 14, p. 52</w:t>
      </w:r>
      <w:r w:rsidR="00B605EE">
        <w:t>.</w:t>
      </w:r>
    </w:p>
  </w:endnote>
  <w:endnote w:id="38">
    <w:p w14:paraId="0EE246DB" w14:textId="3A909962" w:rsidR="00904194" w:rsidRDefault="00904194" w:rsidP="00904194">
      <w:pPr>
        <w:pStyle w:val="Textonotaalfinal"/>
      </w:pPr>
      <w:r>
        <w:rPr>
          <w:rStyle w:val="Refdenotaalfinal"/>
        </w:rPr>
        <w:endnoteRef/>
      </w:r>
      <w:r>
        <w:t xml:space="preserve"> Cugino del vescovo di Siena Adeodato.</w:t>
      </w:r>
      <w:r w:rsidR="00853595" w:rsidRPr="00853595">
        <w:t xml:space="preserve"> </w:t>
      </w:r>
      <w:r w:rsidR="00853595">
        <w:t>Per la notizia dell’uccisione si veda anche Rotolo n. 3, pergamena n. III, verso.</w:t>
      </w:r>
    </w:p>
  </w:endnote>
  <w:endnote w:id="39">
    <w:p w14:paraId="19C50385" w14:textId="2EAD8E9E" w:rsidR="00904194" w:rsidRDefault="00904194" w:rsidP="00904194">
      <w:pPr>
        <w:pStyle w:val="Textonotaalfinal"/>
        <w:rPr>
          <w:b/>
        </w:rPr>
      </w:pPr>
      <w:r>
        <w:rPr>
          <w:rStyle w:val="Refdenotaalfinal"/>
        </w:rPr>
        <w:t>g</w:t>
      </w:r>
      <w:r>
        <w:t xml:space="preserve"> Si desidera. Un decreto di papa Costantino dovette esistere, ma l’unica testimonianza superstite riguarda una copia tarda (XIII secolo) scritta in calce al</w:t>
      </w:r>
      <w:r w:rsidR="001C1B64">
        <w:t xml:space="preserve"> falso</w:t>
      </w:r>
      <w:r>
        <w:t xml:space="preserve"> placito dell’anno 850 (Manaresi, n. 53). Pubblicata da Pasqui come documento </w:t>
      </w:r>
      <w:r w:rsidR="00864523">
        <w:t>n. 2 della sua raccolta aretina.</w:t>
      </w:r>
      <w:r>
        <w:t xml:space="preserve"> P.F. Kehr utilizzò la copia di tale decreto di papa Costantino per recuperare documentazione pontificia </w:t>
      </w:r>
      <w:r>
        <w:rPr>
          <w:i/>
        </w:rPr>
        <w:t xml:space="preserve">deperdita </w:t>
      </w:r>
      <w:r>
        <w:t>relativa alle sedi di Arezzo e Siena. Per Delumeau e Bougard la copia di XIII secolo del decreto sarebbe da considerare un falso. Si vedano anche le cons</w:t>
      </w:r>
      <w:r w:rsidR="00996C71">
        <w:t>iderazione scritte nelle note a corredo della scheda relativa al</w:t>
      </w:r>
      <w:r w:rsidR="00931DCE">
        <w:t xml:space="preserve"> falso </w:t>
      </w:r>
      <w:r w:rsidR="00931DCE">
        <w:rPr>
          <w:i/>
        </w:rPr>
        <w:t>placitum</w:t>
      </w:r>
      <w:r w:rsidR="00D132BC">
        <w:t xml:space="preserve"> dell’anno</w:t>
      </w:r>
      <w:r>
        <w:t xml:space="preserve"> 850.</w:t>
      </w:r>
    </w:p>
  </w:endnote>
  <w:endnote w:id="40">
    <w:p w14:paraId="3624D57E" w14:textId="77777777" w:rsidR="00904194" w:rsidRDefault="00904194" w:rsidP="00904194">
      <w:pPr>
        <w:pStyle w:val="Textonotaalfinal"/>
      </w:pPr>
      <w:r>
        <w:rPr>
          <w:rStyle w:val="Refdenotaalfinal"/>
        </w:rPr>
        <w:t>h</w:t>
      </w:r>
      <w:r>
        <w:t xml:space="preserve"> CDL, I, n. 20 (715 luglio 5).</w:t>
      </w:r>
    </w:p>
  </w:endnote>
  <w:endnote w:id="41">
    <w:p w14:paraId="3E1F03E3" w14:textId="15A8E8B6" w:rsidR="00904194" w:rsidRDefault="00904194" w:rsidP="00904194">
      <w:pPr>
        <w:pStyle w:val="Textonotaalfinal"/>
      </w:pPr>
      <w:r>
        <w:rPr>
          <w:rStyle w:val="Refdenotaalfinal"/>
        </w:rPr>
        <w:endnoteRef/>
      </w:r>
      <w:r>
        <w:t xml:space="preserve"> Warnefrit, gastaldo di Siena, è il personaggio che più interesse dimostra lungo tutta la lite nel far coincidere la distrettuazione civile senese con quella ecclesiastica, forse mosso da interessi patrimoniali privati. Nel fare ciò non dubita nel minacciare più volte i testimoni, come appare spesso nell’</w:t>
      </w:r>
      <w:r>
        <w:rPr>
          <w:i/>
        </w:rPr>
        <w:t>inquisitio</w:t>
      </w:r>
      <w:r>
        <w:t xml:space="preserve">. Le carte conservate mostrano la dimensione sovradiocesana del suo patrimonio, posto nelle diocesi di Arezzo e Siena. Un testimone segnala nella stessa </w:t>
      </w:r>
      <w:r>
        <w:rPr>
          <w:i/>
        </w:rPr>
        <w:t>inquisitio</w:t>
      </w:r>
      <w:r>
        <w:t xml:space="preserve"> come Warnefrit avesse creato, </w:t>
      </w:r>
      <w:r>
        <w:rPr>
          <w:rFonts w:eastAsia="Times New Roman"/>
          <w:i/>
        </w:rPr>
        <w:t>de sua substantia</w:t>
      </w:r>
      <w:r>
        <w:rPr>
          <w:rFonts w:eastAsia="Times New Roman"/>
        </w:rPr>
        <w:t>,</w:t>
      </w:r>
      <w:r>
        <w:rPr>
          <w:rFonts w:eastAsia="Times New Roman"/>
          <w:i/>
        </w:rPr>
        <w:t xml:space="preserve"> </w:t>
      </w:r>
      <w:r>
        <w:t xml:space="preserve">un beneficio nel monastero di San Pietro </w:t>
      </w:r>
      <w:r>
        <w:rPr>
          <w:i/>
        </w:rPr>
        <w:t>ad Abso</w:t>
      </w:r>
      <w:r>
        <w:t>, mentre la documentazione privata informa della capacità fondiaria del gastaldo, fondatore del monastero di S. Eugenio, presso Siena, con beni dislocati in val di Merse (CDL, I, n. 50,</w:t>
      </w:r>
      <w:r w:rsidR="001F3A0C">
        <w:t xml:space="preserve"> 730 dicembre 1</w:t>
      </w:r>
      <w:r>
        <w:t>), carta che mostra anche la ricchezza in termini di beni mobili del gastaldo e di sua moglie Optileope</w:t>
      </w:r>
      <w:r w:rsidR="002D7250">
        <w:t xml:space="preserve">: </w:t>
      </w:r>
      <w:r w:rsidR="005218ED">
        <w:rPr>
          <w:rFonts w:eastAsiaTheme="minorEastAsia"/>
          <w:noProof w:val="0"/>
        </w:rPr>
        <w:t>Jarnut 1972</w:t>
      </w:r>
      <w:r w:rsidR="00B44A8D">
        <w:rPr>
          <w:rFonts w:eastAsiaTheme="minorEastAsia"/>
          <w:noProof w:val="0"/>
        </w:rPr>
        <w:t xml:space="preserve">, pp. 375-6; </w:t>
      </w:r>
      <w:r w:rsidR="002D7250">
        <w:t xml:space="preserve">Tabacco 1973 p. 168; Cammarosano 1978, p. 14, con una mappa dove si identificano </w:t>
      </w:r>
      <w:r w:rsidR="00A85F37">
        <w:t>i beni donati al monastero di San</w:t>
      </w:r>
      <w:r w:rsidR="00BC1126">
        <w:t xml:space="preserve"> Eugenio a p. 17;</w:t>
      </w:r>
      <w:r w:rsidR="002D7250">
        <w:t xml:space="preserve"> Gasparri 2004, p. 65;</w:t>
      </w:r>
      <w:r w:rsidR="00BC1126">
        <w:t xml:space="preserve"> Giorgi 1997, pp. 117-231 e</w:t>
      </w:r>
      <w:r w:rsidR="002D7250">
        <w:t xml:space="preserve"> Wickham 2009, pp. 122-126. </w:t>
      </w:r>
      <w:r>
        <w:t>Viene citato anche in CDL, I, n. 19 (715 giugno 20).</w:t>
      </w:r>
    </w:p>
  </w:endnote>
  <w:endnote w:id="42">
    <w:p w14:paraId="03F0D0E3" w14:textId="376B3B77" w:rsidR="003361A3" w:rsidRPr="009572BE" w:rsidRDefault="009572BE" w:rsidP="002C5403">
      <w:pPr>
        <w:pStyle w:val="Textonotaalfinal"/>
        <w:rPr>
          <w:lang w:val="es-ES_tradnl"/>
        </w:rPr>
      </w:pPr>
      <w:r>
        <w:rPr>
          <w:rStyle w:val="Refdenotaalfinal"/>
        </w:rPr>
        <w:endnoteRef/>
      </w:r>
      <w:r>
        <w:t xml:space="preserve"> </w:t>
      </w:r>
      <w:r w:rsidR="004155B3">
        <w:t xml:space="preserve">Gasparri 2004, pp. 16-18, ha proposto di identificare questo personaggio con il </w:t>
      </w:r>
      <w:r w:rsidR="0045335F">
        <w:t>Taipert, gastaldo senese che v</w:t>
      </w:r>
      <w:r w:rsidR="004117EF">
        <w:t xml:space="preserve">iene citato anche in </w:t>
      </w:r>
      <w:r w:rsidR="004117EF">
        <w:rPr>
          <w:rFonts w:eastAsia="Times New Roman"/>
        </w:rPr>
        <w:t>CDL, I, n</w:t>
      </w:r>
      <w:r w:rsidR="00EB0315">
        <w:rPr>
          <w:rFonts w:eastAsia="Times New Roman"/>
        </w:rPr>
        <w:t>n</w:t>
      </w:r>
      <w:r w:rsidR="004117EF">
        <w:rPr>
          <w:rFonts w:eastAsia="Times New Roman"/>
        </w:rPr>
        <w:t>.</w:t>
      </w:r>
      <w:r w:rsidR="005E0F10">
        <w:rPr>
          <w:rFonts w:eastAsia="Times New Roman"/>
        </w:rPr>
        <w:t xml:space="preserve"> 17</w:t>
      </w:r>
      <w:r w:rsidR="00EB0315">
        <w:rPr>
          <w:rFonts w:eastAsia="Times New Roman"/>
        </w:rPr>
        <w:t xml:space="preserve"> e 20</w:t>
      </w:r>
      <w:r w:rsidR="005E0F10">
        <w:rPr>
          <w:rFonts w:eastAsia="Times New Roman"/>
        </w:rPr>
        <w:t xml:space="preserve"> (agos</w:t>
      </w:r>
      <w:r w:rsidR="00785CAE">
        <w:rPr>
          <w:rFonts w:eastAsia="Times New Roman"/>
        </w:rPr>
        <w:t>to 714 e</w:t>
      </w:r>
      <w:r w:rsidR="00FC7F6C">
        <w:rPr>
          <w:rFonts w:eastAsia="Times New Roman"/>
        </w:rPr>
        <w:t xml:space="preserve"> </w:t>
      </w:r>
      <w:r w:rsidR="004117EF">
        <w:t xml:space="preserve">715 luglio 5) e CDL, III/1, n. 12 (715 </w:t>
      </w:r>
      <w:r w:rsidR="004E78DD">
        <w:t>marzo 6)</w:t>
      </w:r>
      <w:r w:rsidR="00C750AD">
        <w:t>. Taipert appare citato anche</w:t>
      </w:r>
      <w:r w:rsidR="00B80997">
        <w:t xml:space="preserve"> in una </w:t>
      </w:r>
      <w:r w:rsidR="00CB0C2A">
        <w:t xml:space="preserve">donazione </w:t>
      </w:r>
      <w:r w:rsidR="004E78DD">
        <w:t xml:space="preserve">realizzata da Warnefrit </w:t>
      </w:r>
      <w:r w:rsidR="00EA52FF">
        <w:t>n</w:t>
      </w:r>
      <w:r w:rsidR="00CB0C2A">
        <w:t>ell’anno 730 (CDL, I, n. 50).</w:t>
      </w:r>
      <w:r w:rsidR="004935FD">
        <w:t xml:space="preserve"> Precentemente </w:t>
      </w:r>
      <w:r w:rsidR="004935FD" w:rsidRPr="009F5978">
        <w:rPr>
          <w:rFonts w:eastAsiaTheme="minorEastAsia"/>
          <w:noProof w:val="0"/>
        </w:rPr>
        <w:t>Jarnut</w:t>
      </w:r>
      <w:r w:rsidR="00F7712A" w:rsidRPr="009F5978">
        <w:rPr>
          <w:rFonts w:eastAsiaTheme="minorEastAsia"/>
          <w:noProof w:val="0"/>
        </w:rPr>
        <w:t xml:space="preserve"> 1972</w:t>
      </w:r>
      <w:r w:rsidR="004935FD" w:rsidRPr="009F5978">
        <w:rPr>
          <w:rFonts w:eastAsiaTheme="minorEastAsia"/>
          <w:noProof w:val="0"/>
        </w:rPr>
        <w:t>,</w:t>
      </w:r>
      <w:r w:rsidR="00F7712A" w:rsidRPr="009F5978">
        <w:rPr>
          <w:rFonts w:eastAsiaTheme="minorEastAsia"/>
          <w:noProof w:val="0"/>
        </w:rPr>
        <w:t xml:space="preserve"> p. 375</w:t>
      </w:r>
      <w:r w:rsidR="003F273E" w:rsidRPr="009F5978">
        <w:rPr>
          <w:rFonts w:eastAsiaTheme="minorEastAsia"/>
          <w:noProof w:val="0"/>
        </w:rPr>
        <w:t xml:space="preserve"> aveva negato</w:t>
      </w:r>
      <w:r w:rsidR="004935FD" w:rsidRPr="009F5978">
        <w:rPr>
          <w:rFonts w:eastAsiaTheme="minorEastAsia"/>
          <w:noProof w:val="0"/>
        </w:rPr>
        <w:t xml:space="preserve"> </w:t>
      </w:r>
      <w:r w:rsidR="003F273E" w:rsidRPr="009F5978">
        <w:rPr>
          <w:rFonts w:eastAsiaTheme="minorEastAsia"/>
          <w:noProof w:val="0"/>
        </w:rPr>
        <w:t>l’</w:t>
      </w:r>
      <w:r w:rsidR="004935FD" w:rsidRPr="009F5978">
        <w:rPr>
          <w:rFonts w:eastAsiaTheme="minorEastAsia"/>
          <w:noProof w:val="0"/>
        </w:rPr>
        <w:t>identificazione</w:t>
      </w:r>
      <w:r w:rsidR="00EF747D" w:rsidRPr="009F5978">
        <w:rPr>
          <w:rFonts w:eastAsiaTheme="minorEastAsia"/>
          <w:noProof w:val="0"/>
        </w:rPr>
        <w:t xml:space="preserve"> di questo Agipert con il gastaldo Taipert</w:t>
      </w:r>
      <w:r w:rsidR="00531524" w:rsidRPr="009F5978">
        <w:rPr>
          <w:rFonts w:eastAsiaTheme="minorEastAsia"/>
          <w:noProof w:val="0"/>
        </w:rPr>
        <w:t>.</w:t>
      </w:r>
    </w:p>
  </w:endnote>
  <w:endnote w:id="43">
    <w:p w14:paraId="46E4EF62" w14:textId="566CFD40" w:rsidR="00904194" w:rsidRDefault="00904194" w:rsidP="00904194">
      <w:pPr>
        <w:pStyle w:val="Textonotaalfinal"/>
      </w:pPr>
      <w:r>
        <w:rPr>
          <w:rStyle w:val="Refdenotaalfinal"/>
        </w:rPr>
        <w:t>i</w:t>
      </w:r>
      <w:r>
        <w:t xml:space="preserve"> Nell’edizione di Brühl segue “nostris” (“la restituzione è evidente” CDL, III/1 p. 62). “Nostris” manca </w:t>
      </w:r>
      <w:r w:rsidR="00C773AD">
        <w:t>però nelle due copie conservate nell’archivio aretino</w:t>
      </w:r>
      <w:r>
        <w:t>.</w:t>
      </w:r>
    </w:p>
  </w:endnote>
  <w:endnote w:id="44">
    <w:p w14:paraId="57C06D39" w14:textId="2F4BC96A" w:rsidR="00904194" w:rsidRDefault="00904194" w:rsidP="00904194">
      <w:pPr>
        <w:jc w:val="both"/>
      </w:pPr>
      <w:r>
        <w:rPr>
          <w:rStyle w:val="Refdenotaalfinal"/>
        </w:rPr>
        <w:t>j</w:t>
      </w:r>
      <w:r>
        <w:t xml:space="preserve"> </w:t>
      </w:r>
      <w:r w:rsidR="000C3A21">
        <w:rPr>
          <w:rFonts w:ascii="Times New Roman" w:hAnsi="Times New Roman"/>
          <w:sz w:val="20"/>
        </w:rPr>
        <w:t>In B</w:t>
      </w:r>
      <w:r>
        <w:rPr>
          <w:rFonts w:ascii="Times New Roman" w:hAnsi="Times New Roman"/>
          <w:sz w:val="20"/>
        </w:rPr>
        <w:t xml:space="preserve"> il testo chiude con la parola “notarius”. Brühl aggiunge nella sua edizione del </w:t>
      </w:r>
      <w:r>
        <w:rPr>
          <w:rFonts w:ascii="Times New Roman" w:hAnsi="Times New Roman"/>
          <w:i/>
          <w:sz w:val="20"/>
        </w:rPr>
        <w:t>praeceptum</w:t>
      </w:r>
      <w:r w:rsidR="00D1481E">
        <w:rPr>
          <w:rFonts w:ascii="Times New Roman" w:hAnsi="Times New Roman"/>
          <w:sz w:val="20"/>
        </w:rPr>
        <w:t xml:space="preserve"> </w:t>
      </w:r>
      <w:r w:rsidR="001B62A7">
        <w:rPr>
          <w:rFonts w:ascii="Times New Roman" w:hAnsi="Times New Roman"/>
          <w:sz w:val="20"/>
        </w:rPr>
        <w:t>l’aggiunta</w:t>
      </w:r>
      <w:r w:rsidR="003C090F" w:rsidRPr="003C090F">
        <w:rPr>
          <w:rFonts w:ascii="Times New Roman" w:hAnsi="Times New Roman"/>
          <w:sz w:val="20"/>
        </w:rPr>
        <w:t xml:space="preserve"> </w:t>
      </w:r>
      <w:r w:rsidR="003C090F">
        <w:rPr>
          <w:rFonts w:ascii="Times New Roman" w:hAnsi="Times New Roman"/>
          <w:sz w:val="20"/>
        </w:rPr>
        <w:t>presente nella copia del X secolo (Canonica n. 4)</w:t>
      </w:r>
      <w:r w:rsidR="00173194">
        <w:rPr>
          <w:rFonts w:ascii="Times New Roman" w:hAnsi="Times New Roman"/>
          <w:sz w:val="20"/>
        </w:rPr>
        <w:t>,</w:t>
      </w:r>
      <w:r w:rsidR="00472BBC">
        <w:rPr>
          <w:rFonts w:ascii="Times New Roman" w:hAnsi="Times New Roman"/>
          <w:sz w:val="20"/>
        </w:rPr>
        <w:t xml:space="preserve"> scritta da una mano diversa rispetto alla princip</w:t>
      </w:r>
      <w:r w:rsidR="0013043C">
        <w:rPr>
          <w:rFonts w:ascii="Times New Roman" w:hAnsi="Times New Roman"/>
          <w:sz w:val="20"/>
        </w:rPr>
        <w:t>ale ma sicuramente a essa coeva:</w:t>
      </w:r>
      <w:bookmarkStart w:id="0" w:name="_GoBack"/>
      <w:bookmarkEnd w:id="0"/>
      <w:r w:rsidR="001B62A7">
        <w:rPr>
          <w:rFonts w:ascii="Times New Roman" w:hAnsi="Times New Roman"/>
          <w:sz w:val="20"/>
        </w:rPr>
        <w:t xml:space="preserve"> </w:t>
      </w:r>
      <w:r>
        <w:rPr>
          <w:rFonts w:ascii="Times New Roman" w:hAnsi="Times New Roman"/>
          <w:sz w:val="20"/>
        </w:rPr>
        <w:t>“Et ut verius credatur, de anulo nostro insgniri iussimus. Scriptum […] in palatio, quartadecima die mensis octobris, anno felicissimi regni eius quarto, per indictionem quartam; [feliciter]” (CDL, III/1 p. 63).</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330B7E" w14:textId="77777777" w:rsidR="00904194" w:rsidRDefault="00904194" w:rsidP="00904194">
      <w:r>
        <w:separator/>
      </w:r>
    </w:p>
  </w:footnote>
  <w:footnote w:type="continuationSeparator" w:id="0">
    <w:p w14:paraId="073B23BA" w14:textId="77777777" w:rsidR="00904194" w:rsidRDefault="00904194" w:rsidP="009041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hyphenationZone w:val="425"/>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4194"/>
    <w:rsid w:val="00013627"/>
    <w:rsid w:val="000161FC"/>
    <w:rsid w:val="000338E2"/>
    <w:rsid w:val="00063675"/>
    <w:rsid w:val="00071594"/>
    <w:rsid w:val="00084859"/>
    <w:rsid w:val="000972C4"/>
    <w:rsid w:val="000A6F86"/>
    <w:rsid w:val="000C3A21"/>
    <w:rsid w:val="000F456A"/>
    <w:rsid w:val="000F4706"/>
    <w:rsid w:val="000F6567"/>
    <w:rsid w:val="00114932"/>
    <w:rsid w:val="001239E8"/>
    <w:rsid w:val="0013043C"/>
    <w:rsid w:val="001318D9"/>
    <w:rsid w:val="0013369C"/>
    <w:rsid w:val="00153D0F"/>
    <w:rsid w:val="001553A0"/>
    <w:rsid w:val="00156D8E"/>
    <w:rsid w:val="00160131"/>
    <w:rsid w:val="001637D0"/>
    <w:rsid w:val="00173194"/>
    <w:rsid w:val="00174CF3"/>
    <w:rsid w:val="0017515F"/>
    <w:rsid w:val="00181D2D"/>
    <w:rsid w:val="001B62A7"/>
    <w:rsid w:val="001C1B64"/>
    <w:rsid w:val="001D44DA"/>
    <w:rsid w:val="001D7D4D"/>
    <w:rsid w:val="001E7273"/>
    <w:rsid w:val="001E7555"/>
    <w:rsid w:val="001F01C8"/>
    <w:rsid w:val="001F3A0C"/>
    <w:rsid w:val="001F4BB4"/>
    <w:rsid w:val="002057B5"/>
    <w:rsid w:val="00221C4D"/>
    <w:rsid w:val="0022376F"/>
    <w:rsid w:val="002264BA"/>
    <w:rsid w:val="00231009"/>
    <w:rsid w:val="00234368"/>
    <w:rsid w:val="002423BD"/>
    <w:rsid w:val="00244BD3"/>
    <w:rsid w:val="00245472"/>
    <w:rsid w:val="00251B8C"/>
    <w:rsid w:val="002924A0"/>
    <w:rsid w:val="00293F9B"/>
    <w:rsid w:val="002A50BB"/>
    <w:rsid w:val="002B43C3"/>
    <w:rsid w:val="002C4685"/>
    <w:rsid w:val="002C5403"/>
    <w:rsid w:val="002C5647"/>
    <w:rsid w:val="002D6960"/>
    <w:rsid w:val="002D7250"/>
    <w:rsid w:val="002F155C"/>
    <w:rsid w:val="002F668B"/>
    <w:rsid w:val="002F7031"/>
    <w:rsid w:val="002F711C"/>
    <w:rsid w:val="003015F1"/>
    <w:rsid w:val="00303316"/>
    <w:rsid w:val="003118E7"/>
    <w:rsid w:val="00323EF5"/>
    <w:rsid w:val="003254B5"/>
    <w:rsid w:val="00335C71"/>
    <w:rsid w:val="003361A3"/>
    <w:rsid w:val="00347891"/>
    <w:rsid w:val="00363C14"/>
    <w:rsid w:val="00373DE6"/>
    <w:rsid w:val="00385787"/>
    <w:rsid w:val="003916A6"/>
    <w:rsid w:val="00391ACF"/>
    <w:rsid w:val="003B5874"/>
    <w:rsid w:val="003B6871"/>
    <w:rsid w:val="003C08D5"/>
    <w:rsid w:val="003C090F"/>
    <w:rsid w:val="003E1820"/>
    <w:rsid w:val="003E6862"/>
    <w:rsid w:val="003F273E"/>
    <w:rsid w:val="004117EF"/>
    <w:rsid w:val="004155B3"/>
    <w:rsid w:val="00430439"/>
    <w:rsid w:val="00431AC9"/>
    <w:rsid w:val="00431F12"/>
    <w:rsid w:val="00446664"/>
    <w:rsid w:val="0045335F"/>
    <w:rsid w:val="00456E69"/>
    <w:rsid w:val="00461E53"/>
    <w:rsid w:val="00462BA3"/>
    <w:rsid w:val="00471394"/>
    <w:rsid w:val="00472BBC"/>
    <w:rsid w:val="00483F31"/>
    <w:rsid w:val="0048780E"/>
    <w:rsid w:val="00487F30"/>
    <w:rsid w:val="004935FD"/>
    <w:rsid w:val="00494710"/>
    <w:rsid w:val="004B0DB6"/>
    <w:rsid w:val="004E539B"/>
    <w:rsid w:val="004E78DD"/>
    <w:rsid w:val="00504476"/>
    <w:rsid w:val="0051674D"/>
    <w:rsid w:val="005218ED"/>
    <w:rsid w:val="00525D2C"/>
    <w:rsid w:val="00531524"/>
    <w:rsid w:val="00542D35"/>
    <w:rsid w:val="0054314E"/>
    <w:rsid w:val="00551168"/>
    <w:rsid w:val="005609B7"/>
    <w:rsid w:val="005610F5"/>
    <w:rsid w:val="00570EB6"/>
    <w:rsid w:val="005834F9"/>
    <w:rsid w:val="0058354E"/>
    <w:rsid w:val="00585096"/>
    <w:rsid w:val="00595B3D"/>
    <w:rsid w:val="00597A6F"/>
    <w:rsid w:val="005A7194"/>
    <w:rsid w:val="005D3CAD"/>
    <w:rsid w:val="005D5372"/>
    <w:rsid w:val="005E0F10"/>
    <w:rsid w:val="005F0C58"/>
    <w:rsid w:val="0060048F"/>
    <w:rsid w:val="00603E47"/>
    <w:rsid w:val="006110FB"/>
    <w:rsid w:val="0061539F"/>
    <w:rsid w:val="00617AFF"/>
    <w:rsid w:val="00621BC3"/>
    <w:rsid w:val="00627CE7"/>
    <w:rsid w:val="00644AFA"/>
    <w:rsid w:val="00654C11"/>
    <w:rsid w:val="0066055C"/>
    <w:rsid w:val="00661C6E"/>
    <w:rsid w:val="00665973"/>
    <w:rsid w:val="00666554"/>
    <w:rsid w:val="00675C57"/>
    <w:rsid w:val="006814B2"/>
    <w:rsid w:val="006915B3"/>
    <w:rsid w:val="006949F5"/>
    <w:rsid w:val="006A6641"/>
    <w:rsid w:val="006E61FC"/>
    <w:rsid w:val="006E7739"/>
    <w:rsid w:val="00701849"/>
    <w:rsid w:val="0073242D"/>
    <w:rsid w:val="0073589E"/>
    <w:rsid w:val="00736045"/>
    <w:rsid w:val="007474C9"/>
    <w:rsid w:val="0075167E"/>
    <w:rsid w:val="00756EB4"/>
    <w:rsid w:val="007738B6"/>
    <w:rsid w:val="00785CAE"/>
    <w:rsid w:val="00786719"/>
    <w:rsid w:val="00790D92"/>
    <w:rsid w:val="00796018"/>
    <w:rsid w:val="00797902"/>
    <w:rsid w:val="007B06FC"/>
    <w:rsid w:val="007C0CF0"/>
    <w:rsid w:val="007D2541"/>
    <w:rsid w:val="007D255D"/>
    <w:rsid w:val="007D6BB6"/>
    <w:rsid w:val="007E0F43"/>
    <w:rsid w:val="007E2FDF"/>
    <w:rsid w:val="007E33C9"/>
    <w:rsid w:val="007F5CC8"/>
    <w:rsid w:val="00802DA3"/>
    <w:rsid w:val="0081267F"/>
    <w:rsid w:val="008142C9"/>
    <w:rsid w:val="0082500E"/>
    <w:rsid w:val="00830D67"/>
    <w:rsid w:val="00837D25"/>
    <w:rsid w:val="008409EB"/>
    <w:rsid w:val="00842F2F"/>
    <w:rsid w:val="00853595"/>
    <w:rsid w:val="00862655"/>
    <w:rsid w:val="00864523"/>
    <w:rsid w:val="008674B7"/>
    <w:rsid w:val="00867700"/>
    <w:rsid w:val="00880319"/>
    <w:rsid w:val="00881601"/>
    <w:rsid w:val="008A28F3"/>
    <w:rsid w:val="008B3D68"/>
    <w:rsid w:val="008D02F7"/>
    <w:rsid w:val="008D47A5"/>
    <w:rsid w:val="008E260D"/>
    <w:rsid w:val="008F0107"/>
    <w:rsid w:val="00904194"/>
    <w:rsid w:val="009111CA"/>
    <w:rsid w:val="00917459"/>
    <w:rsid w:val="00920CB2"/>
    <w:rsid w:val="00927C1E"/>
    <w:rsid w:val="00931DCE"/>
    <w:rsid w:val="00941C42"/>
    <w:rsid w:val="00946875"/>
    <w:rsid w:val="009572BE"/>
    <w:rsid w:val="009611CF"/>
    <w:rsid w:val="00962CEA"/>
    <w:rsid w:val="009642CB"/>
    <w:rsid w:val="00975D7E"/>
    <w:rsid w:val="00996C71"/>
    <w:rsid w:val="009A0E69"/>
    <w:rsid w:val="009A4236"/>
    <w:rsid w:val="009B2786"/>
    <w:rsid w:val="009B7B6A"/>
    <w:rsid w:val="009C079A"/>
    <w:rsid w:val="009D628C"/>
    <w:rsid w:val="009E75E6"/>
    <w:rsid w:val="009F0175"/>
    <w:rsid w:val="009F4006"/>
    <w:rsid w:val="009F5978"/>
    <w:rsid w:val="00A0746A"/>
    <w:rsid w:val="00A1130A"/>
    <w:rsid w:val="00A47EDF"/>
    <w:rsid w:val="00A53F82"/>
    <w:rsid w:val="00A63ABD"/>
    <w:rsid w:val="00A64C8C"/>
    <w:rsid w:val="00A65E07"/>
    <w:rsid w:val="00A71A12"/>
    <w:rsid w:val="00A85F37"/>
    <w:rsid w:val="00AA3988"/>
    <w:rsid w:val="00AA69D7"/>
    <w:rsid w:val="00AC7860"/>
    <w:rsid w:val="00AD1BF5"/>
    <w:rsid w:val="00AD708F"/>
    <w:rsid w:val="00AE307D"/>
    <w:rsid w:val="00AE3BE4"/>
    <w:rsid w:val="00AE3E84"/>
    <w:rsid w:val="00AE5B6E"/>
    <w:rsid w:val="00AF1E50"/>
    <w:rsid w:val="00AF5515"/>
    <w:rsid w:val="00B05B52"/>
    <w:rsid w:val="00B11621"/>
    <w:rsid w:val="00B13EE2"/>
    <w:rsid w:val="00B15FA1"/>
    <w:rsid w:val="00B20417"/>
    <w:rsid w:val="00B31DF1"/>
    <w:rsid w:val="00B43E63"/>
    <w:rsid w:val="00B44A8D"/>
    <w:rsid w:val="00B51DAC"/>
    <w:rsid w:val="00B54631"/>
    <w:rsid w:val="00B605EE"/>
    <w:rsid w:val="00B65582"/>
    <w:rsid w:val="00B67475"/>
    <w:rsid w:val="00B77D34"/>
    <w:rsid w:val="00B80997"/>
    <w:rsid w:val="00B9047D"/>
    <w:rsid w:val="00B931E6"/>
    <w:rsid w:val="00B93837"/>
    <w:rsid w:val="00BA6A33"/>
    <w:rsid w:val="00BC1126"/>
    <w:rsid w:val="00BE1118"/>
    <w:rsid w:val="00C36153"/>
    <w:rsid w:val="00C36174"/>
    <w:rsid w:val="00C43E20"/>
    <w:rsid w:val="00C46EE0"/>
    <w:rsid w:val="00C513A0"/>
    <w:rsid w:val="00C53E4D"/>
    <w:rsid w:val="00C6568D"/>
    <w:rsid w:val="00C750AD"/>
    <w:rsid w:val="00C773AD"/>
    <w:rsid w:val="00C80164"/>
    <w:rsid w:val="00CB0C2A"/>
    <w:rsid w:val="00CB1B9B"/>
    <w:rsid w:val="00CB2100"/>
    <w:rsid w:val="00CB46EC"/>
    <w:rsid w:val="00CC453B"/>
    <w:rsid w:val="00CC4923"/>
    <w:rsid w:val="00CD7081"/>
    <w:rsid w:val="00CF3F01"/>
    <w:rsid w:val="00D07178"/>
    <w:rsid w:val="00D07472"/>
    <w:rsid w:val="00D132BC"/>
    <w:rsid w:val="00D1481E"/>
    <w:rsid w:val="00D21972"/>
    <w:rsid w:val="00D258B1"/>
    <w:rsid w:val="00D32737"/>
    <w:rsid w:val="00D40F75"/>
    <w:rsid w:val="00D42DD7"/>
    <w:rsid w:val="00D5618A"/>
    <w:rsid w:val="00D61955"/>
    <w:rsid w:val="00D6262E"/>
    <w:rsid w:val="00D65EA1"/>
    <w:rsid w:val="00D740FC"/>
    <w:rsid w:val="00D771CC"/>
    <w:rsid w:val="00D82CA5"/>
    <w:rsid w:val="00D83CEA"/>
    <w:rsid w:val="00D85EFB"/>
    <w:rsid w:val="00DB604E"/>
    <w:rsid w:val="00DC0450"/>
    <w:rsid w:val="00DD2930"/>
    <w:rsid w:val="00E004A9"/>
    <w:rsid w:val="00E04DC1"/>
    <w:rsid w:val="00E169AD"/>
    <w:rsid w:val="00E2026E"/>
    <w:rsid w:val="00E21894"/>
    <w:rsid w:val="00E3055F"/>
    <w:rsid w:val="00E41EDF"/>
    <w:rsid w:val="00E47A4E"/>
    <w:rsid w:val="00E51905"/>
    <w:rsid w:val="00E7534B"/>
    <w:rsid w:val="00E81D6E"/>
    <w:rsid w:val="00E848F3"/>
    <w:rsid w:val="00E900EE"/>
    <w:rsid w:val="00E94B9A"/>
    <w:rsid w:val="00E96558"/>
    <w:rsid w:val="00EA46AD"/>
    <w:rsid w:val="00EA52FF"/>
    <w:rsid w:val="00EB0315"/>
    <w:rsid w:val="00EB167E"/>
    <w:rsid w:val="00ED6942"/>
    <w:rsid w:val="00EE14CF"/>
    <w:rsid w:val="00EF169B"/>
    <w:rsid w:val="00EF5FD1"/>
    <w:rsid w:val="00EF747D"/>
    <w:rsid w:val="00F058B0"/>
    <w:rsid w:val="00F07FBE"/>
    <w:rsid w:val="00F36CE5"/>
    <w:rsid w:val="00F55929"/>
    <w:rsid w:val="00F7712A"/>
    <w:rsid w:val="00F8005E"/>
    <w:rsid w:val="00F85B03"/>
    <w:rsid w:val="00F86B07"/>
    <w:rsid w:val="00F90CC8"/>
    <w:rsid w:val="00F94D6F"/>
    <w:rsid w:val="00FB685C"/>
    <w:rsid w:val="00FC2491"/>
    <w:rsid w:val="00FC7F6C"/>
    <w:rsid w:val="00FD2745"/>
    <w:rsid w:val="00FE47E6"/>
    <w:rsid w:val="00FE6904"/>
    <w:rsid w:val="00FF5C41"/>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5107F3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4194"/>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link w:val="TextonotaalfinalCar"/>
    <w:autoRedefine/>
    <w:rsid w:val="00904194"/>
    <w:pPr>
      <w:jc w:val="both"/>
    </w:pPr>
    <w:rPr>
      <w:rFonts w:ascii="Times New Roman" w:hAnsi="Times New Roman"/>
      <w:sz w:val="20"/>
    </w:rPr>
  </w:style>
  <w:style w:type="character" w:customStyle="1" w:styleId="TextonotaalfinalCar">
    <w:name w:val="Texto nota al final Car"/>
    <w:basedOn w:val="Fuentedeprrafopredeter"/>
    <w:link w:val="Textonotaalfinal"/>
    <w:rsid w:val="00904194"/>
    <w:rPr>
      <w:rFonts w:ascii="Times New Roman" w:eastAsia="Times" w:hAnsi="Times New Roman" w:cs="Times New Roman"/>
      <w:noProof/>
      <w:sz w:val="20"/>
      <w:szCs w:val="20"/>
    </w:rPr>
  </w:style>
  <w:style w:type="character" w:styleId="Refdenotaalfinal">
    <w:name w:val="endnote reference"/>
    <w:basedOn w:val="Fuentedeprrafopredeter"/>
    <w:rsid w:val="00904194"/>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4194"/>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link w:val="TextonotaalfinalCar"/>
    <w:autoRedefine/>
    <w:rsid w:val="00904194"/>
    <w:pPr>
      <w:jc w:val="both"/>
    </w:pPr>
    <w:rPr>
      <w:rFonts w:ascii="Times New Roman" w:hAnsi="Times New Roman"/>
      <w:sz w:val="20"/>
    </w:rPr>
  </w:style>
  <w:style w:type="character" w:customStyle="1" w:styleId="TextonotaalfinalCar">
    <w:name w:val="Texto nota al final Car"/>
    <w:basedOn w:val="Fuentedeprrafopredeter"/>
    <w:link w:val="Textonotaalfinal"/>
    <w:rsid w:val="00904194"/>
    <w:rPr>
      <w:rFonts w:ascii="Times New Roman" w:eastAsia="Times" w:hAnsi="Times New Roman" w:cs="Times New Roman"/>
      <w:noProof/>
      <w:sz w:val="20"/>
      <w:szCs w:val="20"/>
    </w:rPr>
  </w:style>
  <w:style w:type="character" w:styleId="Refdenotaalfinal">
    <w:name w:val="endnote reference"/>
    <w:basedOn w:val="Fuentedeprrafopredeter"/>
    <w:rsid w:val="0090419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5</Pages>
  <Words>1119</Words>
  <Characters>6156</Characters>
  <Application>Microsoft Macintosh Word</Application>
  <DocSecurity>0</DocSecurity>
  <Lines>51</Lines>
  <Paragraphs>14</Paragraphs>
  <ScaleCrop>false</ScaleCrop>
  <Company>casita</Company>
  <LinksUpToDate>false</LinksUpToDate>
  <CharactersWithSpaces>7261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Santos Salazar</dc:creator>
  <cp:keywords/>
  <dc:description/>
  <cp:lastModifiedBy>Igor Santos Salazar</cp:lastModifiedBy>
  <cp:revision>444</cp:revision>
  <dcterms:created xsi:type="dcterms:W3CDTF">2015-10-12T11:38:00Z</dcterms:created>
  <dcterms:modified xsi:type="dcterms:W3CDTF">2015-12-18T10:40:00Z</dcterms:modified>
</cp:coreProperties>
</file>