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FD424" w14:textId="77777777" w:rsidR="003F11FB" w:rsidRDefault="003F11FB" w:rsidP="00DA4C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rPr>
      </w:pPr>
    </w:p>
    <w:p w14:paraId="58EA2671" w14:textId="52C03316"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r>
        <w:rPr>
          <w:rFonts w:ascii="Times New Roman" w:eastAsia="Times New Roman" w:hAnsi="Times New Roman"/>
        </w:rPr>
        <w:t>650 ca. [Siena]</w:t>
      </w:r>
      <w:r w:rsidR="009A60A3" w:rsidRPr="009A60A3">
        <w:rPr>
          <w:rStyle w:val="Refdenotaalfinal"/>
          <w:rFonts w:ascii="Times New Roman" w:eastAsia="Times New Roman" w:hAnsi="Times New Roman"/>
        </w:rPr>
        <w:t xml:space="preserve"> </w:t>
      </w:r>
      <w:r w:rsidR="009A60A3">
        <w:rPr>
          <w:rStyle w:val="Refdenotaalfinal"/>
          <w:rFonts w:ascii="Times New Roman" w:eastAsia="Times New Roman" w:hAnsi="Times New Roman"/>
        </w:rPr>
        <w:endnoteReference w:id="1"/>
      </w:r>
    </w:p>
    <w:p w14:paraId="29D1B430"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6CFA67EE" w14:textId="29C47CE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i/>
        </w:rPr>
        <w:t>Conventio</w:t>
      </w:r>
      <w:r>
        <w:rPr>
          <w:rFonts w:ascii="Times New Roman" w:eastAsia="Times New Roman" w:hAnsi="Times New Roman"/>
        </w:rPr>
        <w:t xml:space="preserve"> tra Maurus</w:t>
      </w:r>
      <w:r w:rsidR="004F0B6D">
        <w:rPr>
          <w:rFonts w:ascii="Times New Roman" w:eastAsia="Times New Roman" w:hAnsi="Times New Roman"/>
        </w:rPr>
        <w:t>,</w:t>
      </w:r>
      <w:r>
        <w:rPr>
          <w:rFonts w:ascii="Times New Roman" w:eastAsia="Times New Roman" w:hAnsi="Times New Roman"/>
        </w:rPr>
        <w:t xml:space="preserve"> vescovo di Siena</w:t>
      </w:r>
      <w:r w:rsidR="004F0B6D">
        <w:rPr>
          <w:rFonts w:ascii="Times New Roman" w:eastAsia="Times New Roman" w:hAnsi="Times New Roman"/>
        </w:rPr>
        <w:t>,</w:t>
      </w:r>
      <w:r>
        <w:rPr>
          <w:rFonts w:ascii="Times New Roman" w:eastAsia="Times New Roman" w:hAnsi="Times New Roman"/>
        </w:rPr>
        <w:t xml:space="preserve"> e Servandus</w:t>
      </w:r>
      <w:r w:rsidR="004F0B6D">
        <w:rPr>
          <w:rFonts w:ascii="Times New Roman" w:eastAsia="Times New Roman" w:hAnsi="Times New Roman"/>
        </w:rPr>
        <w:t>,</w:t>
      </w:r>
      <w:r>
        <w:rPr>
          <w:rFonts w:ascii="Times New Roman" w:eastAsia="Times New Roman" w:hAnsi="Times New Roman"/>
        </w:rPr>
        <w:t xml:space="preserve"> vescovo di Arezzo</w:t>
      </w:r>
      <w:r w:rsidR="004F0B6D">
        <w:rPr>
          <w:rFonts w:ascii="Times New Roman" w:eastAsia="Times New Roman" w:hAnsi="Times New Roman"/>
        </w:rPr>
        <w:t>,</w:t>
      </w:r>
      <w:bookmarkStart w:id="0" w:name="_GoBack"/>
      <w:bookmarkEnd w:id="0"/>
      <w:r>
        <w:rPr>
          <w:rFonts w:ascii="Times New Roman" w:eastAsia="Times New Roman" w:hAnsi="Times New Roman"/>
        </w:rPr>
        <w:t xml:space="preserve"> circa il possesso di alcune pievi e oratori </w:t>
      </w:r>
      <w:r w:rsidR="00022956">
        <w:rPr>
          <w:rFonts w:ascii="Times New Roman" w:eastAsia="Times New Roman" w:hAnsi="Times New Roman"/>
        </w:rPr>
        <w:t xml:space="preserve">situati nel </w:t>
      </w:r>
      <w:r w:rsidR="00022956">
        <w:rPr>
          <w:rFonts w:ascii="Times New Roman" w:eastAsia="Times New Roman" w:hAnsi="Times New Roman"/>
          <w:i/>
        </w:rPr>
        <w:t xml:space="preserve">territorium </w:t>
      </w:r>
      <w:r>
        <w:rPr>
          <w:rFonts w:ascii="Times New Roman" w:eastAsia="Times New Roman" w:hAnsi="Times New Roman"/>
        </w:rPr>
        <w:t>senese.</w:t>
      </w:r>
    </w:p>
    <w:p w14:paraId="5D721523"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7CA1CD55"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ascii="Times New Roman" w:eastAsia="Times New Roman" w:hAnsi="Times New Roman"/>
        </w:rPr>
        <w:endnoteReference w:id="2"/>
      </w:r>
      <w:r>
        <w:rPr>
          <w:rFonts w:ascii="Times New Roman" w:eastAsia="Times New Roman" w:hAnsi="Times New Roman"/>
        </w:rPr>
        <w:t xml:space="preserve">. </w:t>
      </w:r>
    </w:p>
    <w:p w14:paraId="664F2C1D" w14:textId="0BB2D8A0"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Archivio Storico Diocesano di </w:t>
      </w:r>
      <w:r w:rsidR="0037358E">
        <w:rPr>
          <w:rFonts w:ascii="Times New Roman" w:eastAsia="Times New Roman" w:hAnsi="Times New Roman"/>
        </w:rPr>
        <w:t>Arezzo,</w:t>
      </w:r>
      <w:r>
        <w:rPr>
          <w:rFonts w:ascii="Times New Roman" w:eastAsia="Times New Roman" w:hAnsi="Times New Roman"/>
        </w:rPr>
        <w:t xml:space="preserve"> Carte della Canonica, n. 3 [B]</w:t>
      </w:r>
      <w:r>
        <w:rPr>
          <w:rStyle w:val="Refdenotaalfinal"/>
          <w:rFonts w:ascii="Times New Roman" w:hAnsi="Times New Roman"/>
        </w:rPr>
        <w:endnoteReference w:customMarkFollows="1" w:id="3"/>
        <w:t>*</w:t>
      </w:r>
      <w:r>
        <w:rPr>
          <w:rFonts w:ascii="Times New Roman" w:hAnsi="Times New Roman"/>
        </w:rPr>
        <w:t>.</w:t>
      </w:r>
    </w:p>
    <w:p w14:paraId="065C46A8"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1D0F40A6" w14:textId="61B5CE54"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Edizioni: </w:t>
      </w:r>
      <w:r w:rsidR="00022956">
        <w:rPr>
          <w:rFonts w:ascii="Times New Roman" w:eastAsia="Times New Roman" w:hAnsi="Times New Roman"/>
        </w:rPr>
        <w:t>Schiaparelli</w:t>
      </w:r>
      <w:r>
        <w:rPr>
          <w:rFonts w:ascii="Times New Roman" w:eastAsia="Times New Roman" w:hAnsi="Times New Roman"/>
        </w:rPr>
        <w:t>, CDL, I, n. 4</w:t>
      </w:r>
    </w:p>
    <w:p w14:paraId="6D2FDAD2"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5FEAA52B" w14:textId="4702A27A" w:rsidR="003F11FB" w:rsidRDefault="001B7988"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Intentio stetit inter v</w:t>
      </w:r>
      <w:r w:rsidR="003F11FB">
        <w:rPr>
          <w:rFonts w:ascii="Times New Roman" w:eastAsia="Times New Roman" w:hAnsi="Times New Roman"/>
        </w:rPr>
        <w:t>irum beatissimum Mauro</w:t>
      </w:r>
      <w:r w:rsidR="003F11FB">
        <w:rPr>
          <w:rStyle w:val="Refdenotaalfinal"/>
          <w:rFonts w:ascii="Times New Roman" w:eastAsia="Times New Roman" w:hAnsi="Times New Roman"/>
        </w:rPr>
        <w:endnoteReference w:id="4"/>
      </w:r>
      <w:r>
        <w:rPr>
          <w:rFonts w:ascii="Times New Roman" w:eastAsia="Times New Roman" w:hAnsi="Times New Roman"/>
        </w:rPr>
        <w:t xml:space="preserve"> Senense civ</w:t>
      </w:r>
      <w:r w:rsidR="003F11FB">
        <w:rPr>
          <w:rFonts w:ascii="Times New Roman" w:eastAsia="Times New Roman" w:hAnsi="Times New Roman"/>
        </w:rPr>
        <w:t>itatis ep</w:t>
      </w:r>
      <w:r w:rsidR="005154D3">
        <w:rPr>
          <w:rFonts w:ascii="Times New Roman" w:eastAsia="Times New Roman" w:hAnsi="Times New Roman"/>
        </w:rPr>
        <w:t>iscopum et idem beatissimum Serv</w:t>
      </w:r>
      <w:r w:rsidR="003F11FB">
        <w:rPr>
          <w:rFonts w:ascii="Times New Roman" w:eastAsia="Times New Roman" w:hAnsi="Times New Roman"/>
        </w:rPr>
        <w:t>andum</w:t>
      </w:r>
      <w:r w:rsidR="003F11FB">
        <w:rPr>
          <w:rStyle w:val="Refdenotaalfinal"/>
          <w:rFonts w:ascii="Times New Roman" w:eastAsia="Times New Roman" w:hAnsi="Times New Roman"/>
        </w:rPr>
        <w:endnoteReference w:id="5"/>
      </w:r>
      <w:r w:rsidR="00194F34">
        <w:rPr>
          <w:rFonts w:ascii="Times New Roman" w:eastAsia="Times New Roman" w:hAnsi="Times New Roman"/>
        </w:rPr>
        <w:t xml:space="preserve"> Aritine civ</w:t>
      </w:r>
      <w:r w:rsidR="003F11FB">
        <w:rPr>
          <w:rFonts w:ascii="Times New Roman" w:eastAsia="Times New Roman" w:hAnsi="Times New Roman"/>
        </w:rPr>
        <w:t>itatis epi</w:t>
      </w:r>
      <w:r w:rsidR="008F1068">
        <w:rPr>
          <w:rFonts w:ascii="Times New Roman" w:eastAsia="Times New Roman" w:hAnsi="Times New Roman"/>
        </w:rPr>
        <w:t>scopum intentionem quam a iure v</w:t>
      </w:r>
      <w:r w:rsidR="007737FF">
        <w:rPr>
          <w:rFonts w:ascii="Times New Roman" w:eastAsia="Times New Roman" w:hAnsi="Times New Roman"/>
        </w:rPr>
        <w:t>idebatur de ecclesia v</w:t>
      </w:r>
      <w:r w:rsidR="003F11FB">
        <w:rPr>
          <w:rFonts w:ascii="Times New Roman" w:eastAsia="Times New Roman" w:hAnsi="Times New Roman"/>
        </w:rPr>
        <w:t>el plebe eorum, id est: Sancte Marie</w:t>
      </w:r>
      <w:r w:rsidR="003F11FB">
        <w:rPr>
          <w:rStyle w:val="Refdenotaalfinal"/>
          <w:rFonts w:ascii="Times New Roman" w:eastAsia="Times New Roman" w:hAnsi="Times New Roman"/>
        </w:rPr>
        <w:endnoteReference w:id="6"/>
      </w:r>
      <w:r w:rsidR="003F11FB">
        <w:rPr>
          <w:rFonts w:ascii="Times New Roman" w:eastAsia="Times New Roman" w:hAnsi="Times New Roman"/>
        </w:rPr>
        <w:t xml:space="preserve"> [..35..]</w:t>
      </w:r>
      <w:r w:rsidR="003F11FB">
        <w:rPr>
          <w:rStyle w:val="Refdenotaalfinal"/>
          <w:rFonts w:ascii="Times New Roman" w:eastAsia="Times New Roman" w:hAnsi="Times New Roman"/>
        </w:rPr>
        <w:endnoteReference w:id="7"/>
      </w:r>
      <w:r w:rsidR="003F11FB">
        <w:rPr>
          <w:rFonts w:ascii="Times New Roman" w:eastAsia="Times New Roman" w:hAnsi="Times New Roman"/>
        </w:rPr>
        <w:t>, et alia ecclesia Sancti Amsani</w:t>
      </w:r>
      <w:r w:rsidR="003F11FB">
        <w:rPr>
          <w:rStyle w:val="Refdenotaalfinal"/>
          <w:rFonts w:ascii="Times New Roman" w:eastAsia="Times New Roman" w:hAnsi="Times New Roman"/>
        </w:rPr>
        <w:endnoteReference w:id="8"/>
      </w:r>
      <w:r w:rsidR="003F11FB">
        <w:rPr>
          <w:rFonts w:ascii="Times New Roman" w:eastAsia="Times New Roman" w:hAnsi="Times New Roman"/>
        </w:rPr>
        <w:t>, tertia ecclesia Sancti Iohannis</w:t>
      </w:r>
      <w:r w:rsidR="003F11FB">
        <w:rPr>
          <w:rStyle w:val="Refdenotaalfinal"/>
          <w:rFonts w:ascii="Times New Roman" w:eastAsia="Times New Roman" w:hAnsi="Times New Roman"/>
        </w:rPr>
        <w:endnoteReference w:id="9"/>
      </w:r>
      <w:r w:rsidR="003F11FB">
        <w:rPr>
          <w:rFonts w:ascii="Times New Roman" w:eastAsia="Times New Roman" w:hAnsi="Times New Roman"/>
        </w:rPr>
        <w:t xml:space="preserve"> in [..12..], quarta Sancte Restitute</w:t>
      </w:r>
      <w:r w:rsidR="003F11FB">
        <w:rPr>
          <w:rStyle w:val="Refdenotaalfinal"/>
          <w:rFonts w:ascii="Times New Roman" w:eastAsia="Times New Roman" w:hAnsi="Times New Roman"/>
        </w:rPr>
        <w:endnoteReference w:id="10"/>
      </w:r>
      <w:r w:rsidR="00365BA4">
        <w:rPr>
          <w:rFonts w:ascii="Times New Roman" w:eastAsia="Times New Roman" w:hAnsi="Times New Roman"/>
        </w:rPr>
        <w:t>, quinta Sancti Gerv</w:t>
      </w:r>
      <w:r w:rsidR="003F11FB">
        <w:rPr>
          <w:rFonts w:ascii="Times New Roman" w:eastAsia="Times New Roman" w:hAnsi="Times New Roman"/>
        </w:rPr>
        <w:t>asii</w:t>
      </w:r>
      <w:r w:rsidR="003F11FB">
        <w:rPr>
          <w:rStyle w:val="Refdenotaalfinal"/>
          <w:rFonts w:ascii="Times New Roman" w:eastAsia="Times New Roman" w:hAnsi="Times New Roman"/>
        </w:rPr>
        <w:endnoteReference w:id="11"/>
      </w:r>
      <w:r w:rsidR="003F11FB">
        <w:rPr>
          <w:rFonts w:ascii="Times New Roman" w:eastAsia="Times New Roman" w:hAnsi="Times New Roman"/>
        </w:rPr>
        <w:t>. Atque stetit Tropus pr</w:t>
      </w:r>
      <w:r w:rsidR="000144B0">
        <w:rPr>
          <w:rFonts w:ascii="Times New Roman" w:eastAsia="Times New Roman" w:hAnsi="Times New Roman"/>
        </w:rPr>
        <w:t>esbiter predicti beatissimi Serv</w:t>
      </w:r>
      <w:r w:rsidR="003F11FB">
        <w:rPr>
          <w:rFonts w:ascii="Times New Roman" w:eastAsia="Times New Roman" w:hAnsi="Times New Roman"/>
        </w:rPr>
        <w:t>andi episcopi; tenebat proprii</w:t>
      </w:r>
      <w:r w:rsidR="007F1D5E">
        <w:rPr>
          <w:rFonts w:ascii="Times New Roman" w:eastAsia="Times New Roman" w:hAnsi="Times New Roman"/>
        </w:rPr>
        <w:t>s manibus sancta ev</w:t>
      </w:r>
      <w:r w:rsidR="003F11FB">
        <w:rPr>
          <w:rFonts w:ascii="Times New Roman" w:eastAsia="Times New Roman" w:hAnsi="Times New Roman"/>
        </w:rPr>
        <w:t>angelia, et dixit hoc quod iuratur: “Quod ecce hodie per annis quadraginta, quia ego scio, seu amplius [..4..], quod didici per seniores sacerdotes nostros, tam a tempore Narseti</w:t>
      </w:r>
      <w:r w:rsidR="003F11FB">
        <w:rPr>
          <w:rStyle w:val="Refdenotaalfinal"/>
          <w:rFonts w:ascii="Times New Roman" w:eastAsia="Times New Roman" w:hAnsi="Times New Roman"/>
        </w:rPr>
        <w:endnoteReference w:id="12"/>
      </w:r>
      <w:r w:rsidR="003F11FB">
        <w:rPr>
          <w:rFonts w:ascii="Times New Roman" w:eastAsia="Times New Roman" w:hAnsi="Times New Roman"/>
        </w:rPr>
        <w:t xml:space="preserve"> usque modo superscripte ecclesie et plebes ad sanctam Aretinam pertinuerunt, nam non ad ecclesiam Senensem”. Unde et in eorum presentia iam dictus presbiter sacramentum, sicut superius legitur, conduxit et fecit [..8..]. Item de</w:t>
      </w:r>
      <w:r w:rsidR="00DD32D3">
        <w:rPr>
          <w:rFonts w:ascii="Times New Roman" w:eastAsia="Times New Roman" w:hAnsi="Times New Roman"/>
        </w:rPr>
        <w:t xml:space="preserve"> presbitero Iohanne, quem sacrav</w:t>
      </w:r>
      <w:r w:rsidR="003F11FB">
        <w:rPr>
          <w:rFonts w:ascii="Times New Roman" w:eastAsia="Times New Roman" w:hAnsi="Times New Roman"/>
        </w:rPr>
        <w:t>it beatissimus Maurus episcopus, et dicit eundem presbiterum sibi c</w:t>
      </w:r>
      <w:r w:rsidR="00A57595">
        <w:rPr>
          <w:rFonts w:ascii="Times New Roman" w:eastAsia="Times New Roman" w:hAnsi="Times New Roman"/>
        </w:rPr>
        <w:t>ompetere. Stetit ut [..10..] rev</w:t>
      </w:r>
      <w:r w:rsidR="0086054A">
        <w:rPr>
          <w:rFonts w:ascii="Times New Roman" w:eastAsia="Times New Roman" w:hAnsi="Times New Roman"/>
        </w:rPr>
        <w:t>ertentes eos ad propria, v</w:t>
      </w:r>
      <w:r w:rsidR="003F11FB">
        <w:rPr>
          <w:rFonts w:ascii="Times New Roman" w:eastAsia="Times New Roman" w:hAnsi="Times New Roman"/>
        </w:rPr>
        <w:t>enire debeant ad ecclesia Sancte Restitute, ibique presentetur presbiter Gratianus et su</w:t>
      </w:r>
      <w:r w:rsidR="000442BD">
        <w:rPr>
          <w:rFonts w:ascii="Times New Roman" w:eastAsia="Times New Roman" w:hAnsi="Times New Roman"/>
        </w:rPr>
        <w:t>prascriptus Iohannes presbiter v</w:t>
      </w:r>
      <w:r w:rsidR="003F11FB">
        <w:rPr>
          <w:rFonts w:ascii="Times New Roman" w:eastAsia="Times New Roman" w:hAnsi="Times New Roman"/>
        </w:rPr>
        <w:t>el alii seniores, et pacifico et diligenti ordine requirant quando Iohannes</w:t>
      </w:r>
      <w:r w:rsidR="009A2FB0">
        <w:rPr>
          <w:rFonts w:ascii="Times New Roman" w:eastAsia="Times New Roman" w:hAnsi="Times New Roman"/>
        </w:rPr>
        <w:t xml:space="preserve"> presbiter tonsus est [..58..] v</w:t>
      </w:r>
      <w:r w:rsidR="003F11FB">
        <w:rPr>
          <w:rFonts w:ascii="Times New Roman" w:eastAsia="Times New Roman" w:hAnsi="Times New Roman"/>
        </w:rPr>
        <w:t>el predictum a quondam [..5..] Aibone gastaldio</w:t>
      </w:r>
      <w:r w:rsidR="003F11FB">
        <w:rPr>
          <w:rStyle w:val="Refdenotaalfinal"/>
          <w:rFonts w:ascii="Times New Roman" w:eastAsia="Times New Roman" w:hAnsi="Times New Roman"/>
        </w:rPr>
        <w:endnoteReference w:id="13"/>
      </w:r>
      <w:r w:rsidR="003F11FB">
        <w:rPr>
          <w:rFonts w:ascii="Times New Roman" w:eastAsia="Times New Roman" w:hAnsi="Times New Roman"/>
        </w:rPr>
        <w:t xml:space="preserve"> et, ut dictum est atque traditum est tibi, per ecclesiam [..5..] et [..12..] pro oraculo qui est positus in ca</w:t>
      </w:r>
      <w:r w:rsidR="003B3CE4">
        <w:rPr>
          <w:rFonts w:ascii="Times New Roman" w:eastAsia="Times New Roman" w:hAnsi="Times New Roman"/>
        </w:rPr>
        <w:t>sale nomine Mene, quod restaurav</w:t>
      </w:r>
      <w:r w:rsidR="003F11FB">
        <w:rPr>
          <w:rFonts w:ascii="Times New Roman" w:eastAsia="Times New Roman" w:hAnsi="Times New Roman"/>
        </w:rPr>
        <w:t>erunt plebes [..9..] u</w:t>
      </w:r>
      <w:r w:rsidR="00F652DC">
        <w:rPr>
          <w:rFonts w:ascii="Times New Roman" w:eastAsia="Times New Roman" w:hAnsi="Times New Roman"/>
        </w:rPr>
        <w:t>trarumque partium, et sacrav</w:t>
      </w:r>
      <w:r w:rsidR="003F11FB">
        <w:rPr>
          <w:rFonts w:ascii="Times New Roman" w:eastAsia="Times New Roman" w:hAnsi="Times New Roman"/>
        </w:rPr>
        <w:t xml:space="preserve">it eam predictus beatissimus Maurus episcopus. Stetit ut in iura [..7..] </w:t>
      </w:r>
      <w:r w:rsidR="00E97118">
        <w:rPr>
          <w:rFonts w:ascii="Times New Roman" w:eastAsia="Times New Roman" w:hAnsi="Times New Roman"/>
        </w:rPr>
        <w:t>Mauri episcopi esse [..12..] inv</w:t>
      </w:r>
      <w:r w:rsidR="003F11FB">
        <w:rPr>
          <w:rFonts w:ascii="Times New Roman" w:eastAsia="Times New Roman" w:hAnsi="Times New Roman"/>
        </w:rPr>
        <w:t>eni</w:t>
      </w:r>
      <w:r w:rsidR="005D0D9E">
        <w:rPr>
          <w:rFonts w:ascii="Times New Roman" w:eastAsia="Times New Roman" w:hAnsi="Times New Roman"/>
        </w:rPr>
        <w:t>atur [..15.], excepta plebe Serv</w:t>
      </w:r>
      <w:r w:rsidR="003F11FB">
        <w:rPr>
          <w:rFonts w:ascii="Times New Roman" w:eastAsia="Times New Roman" w:hAnsi="Times New Roman"/>
        </w:rPr>
        <w:t>andi episcopi. Item protulit Maurus episcopus, eo quod homines qui abitant in Sexta</w:t>
      </w:r>
      <w:r w:rsidR="003F11FB">
        <w:rPr>
          <w:rStyle w:val="Refdenotaalfinal"/>
          <w:rFonts w:ascii="Times New Roman" w:eastAsia="Times New Roman" w:hAnsi="Times New Roman"/>
        </w:rPr>
        <w:endnoteReference w:id="14"/>
      </w:r>
      <w:r w:rsidR="003F11FB">
        <w:rPr>
          <w:rFonts w:ascii="Times New Roman" w:eastAsia="Times New Roman" w:hAnsi="Times New Roman"/>
        </w:rPr>
        <w:t xml:space="preserve"> ora</w:t>
      </w:r>
      <w:r w:rsidR="00A57301">
        <w:rPr>
          <w:rFonts w:ascii="Times New Roman" w:eastAsia="Times New Roman" w:hAnsi="Times New Roman"/>
        </w:rPr>
        <w:t>culum de desertis restaurav</w:t>
      </w:r>
      <w:r w:rsidR="003F11FB">
        <w:rPr>
          <w:rFonts w:ascii="Times New Roman" w:eastAsia="Times New Roman" w:hAnsi="Times New Roman"/>
        </w:rPr>
        <w:t>issent, et ex ipso oraculo, tempore quando ab incendio est crematus, patrocinia sanctorum exinde a plebe in alia ecclesia posuissent. Et ecce modo sic peruit ab ipsa [..4..] plebs, que ibidem pertinet, quatinus debeat et patrocinia in ipso loco restituere [..10..], et sacra</w:t>
      </w:r>
      <w:r w:rsidR="00B1578D">
        <w:rPr>
          <w:rFonts w:ascii="Times New Roman" w:eastAsia="Times New Roman" w:hAnsi="Times New Roman"/>
        </w:rPr>
        <w:t>re denuo sacrum altare modo Serv</w:t>
      </w:r>
      <w:r w:rsidR="003F11FB">
        <w:rPr>
          <w:rFonts w:ascii="Times New Roman" w:eastAsia="Times New Roman" w:hAnsi="Times New Roman"/>
        </w:rPr>
        <w:t>andus episcopus, ne post sacrationem aliquas calumnias inferat. Stetit [..3..] ut a</w:t>
      </w:r>
      <w:r w:rsidR="003930E4">
        <w:rPr>
          <w:rFonts w:ascii="Times New Roman" w:eastAsia="Times New Roman" w:hAnsi="Times New Roman"/>
        </w:rPr>
        <w:t>ccedant pariter ad ipsum locum v</w:t>
      </w:r>
      <w:r w:rsidR="003F11FB">
        <w:rPr>
          <w:rFonts w:ascii="Times New Roman" w:eastAsia="Times New Roman" w:hAnsi="Times New Roman"/>
        </w:rPr>
        <w:t>el oraculum, et requirant a senioribus cui ex ipsis ipse oraculum debet pertinere, aut ante in cuius fuit potestate, et nunc ipse eam et consecret et possideat.</w:t>
      </w:r>
    </w:p>
    <w:p w14:paraId="47CF5EA1" w14:textId="3AAB8D15" w:rsidR="003F11FB" w:rsidRDefault="001A0BBF"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Ego Maurus v</w:t>
      </w:r>
      <w:r w:rsidR="003F11FB">
        <w:rPr>
          <w:rFonts w:ascii="Times New Roman" w:eastAsia="Times New Roman" w:hAnsi="Times New Roman"/>
        </w:rPr>
        <w:t>ir beatissimus subscripsi et omnia suprascripta consensi.</w:t>
      </w:r>
    </w:p>
    <w:p w14:paraId="796E1190" w14:textId="7FD48308" w:rsidR="003F11FB" w:rsidRDefault="0060069F"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Ego Iulianus vir v</w:t>
      </w:r>
      <w:r w:rsidR="002B742E">
        <w:rPr>
          <w:rFonts w:ascii="Times New Roman" w:eastAsia="Times New Roman" w:hAnsi="Times New Roman"/>
        </w:rPr>
        <w:t>enerabilis presbiter hac conv</w:t>
      </w:r>
      <w:r w:rsidR="003F11FB">
        <w:rPr>
          <w:rFonts w:ascii="Times New Roman" w:eastAsia="Times New Roman" w:hAnsi="Times New Roman"/>
        </w:rPr>
        <w:t>entione consensi et subscripsi.</w:t>
      </w:r>
    </w:p>
    <w:p w14:paraId="0EA4C1AB"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Ego Preticus archidiaconus Senensis ecclesie consensi et subscripsi.</w:t>
      </w:r>
    </w:p>
    <w:p w14:paraId="61A67671"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4A1AA52B" w14:textId="77777777" w:rsidR="003F11FB" w:rsidRDefault="003F11FB" w:rsidP="003F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r>
        <w:rPr>
          <w:rFonts w:ascii="Times New Roman" w:eastAsia="Times New Roman" w:hAnsi="Times New Roman"/>
        </w:rPr>
        <w:t>NOTANDUM LOCA IDEO HIC VACUA QUIA A VETERIBUS TOMIS VETUSTATE CONSUMPTUS NIHIL PLUS CAPERE POTUI</w:t>
      </w:r>
      <w:r>
        <w:rPr>
          <w:rStyle w:val="Refdenotaalfinal"/>
          <w:rFonts w:ascii="Times New Roman" w:eastAsia="Times New Roman" w:hAnsi="Times New Roman"/>
        </w:rPr>
        <w:endnoteReference w:customMarkFollows="1" w:id="15"/>
        <w:t>a</w:t>
      </w:r>
    </w:p>
    <w:p w14:paraId="7B3F2D79" w14:textId="77777777" w:rsidR="00B67475" w:rsidRDefault="00B67475"/>
    <w:sectPr w:rsidR="00B67475">
      <w:endnotePr>
        <w:numFmt w:val="decimal"/>
      </w:endnotePr>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5F170" w14:textId="77777777" w:rsidR="003F11FB" w:rsidRDefault="003F11FB" w:rsidP="003F11FB">
      <w:r>
        <w:separator/>
      </w:r>
    </w:p>
  </w:endnote>
  <w:endnote w:type="continuationSeparator" w:id="0">
    <w:p w14:paraId="759C642A" w14:textId="77777777" w:rsidR="003F11FB" w:rsidRDefault="003F11FB" w:rsidP="003F11FB">
      <w:r>
        <w:continuationSeparator/>
      </w:r>
    </w:p>
  </w:endnote>
  <w:endnote w:id="1">
    <w:p w14:paraId="1BC800B3" w14:textId="34B7E335" w:rsidR="009A60A3" w:rsidRDefault="009A60A3" w:rsidP="009A60A3">
      <w:pPr>
        <w:pStyle w:val="Textonotaalfinal"/>
      </w:pPr>
      <w:r>
        <w:rPr>
          <w:rStyle w:val="Refdenotaalfinal"/>
        </w:rPr>
        <w:endnoteRef/>
      </w:r>
      <w:r>
        <w:t xml:space="preserve"> Questo è il primo documento pervenuto relativo alla</w:t>
      </w:r>
      <w:r w:rsidR="00401186">
        <w:t xml:space="preserve"> lite sorta</w:t>
      </w:r>
      <w:r>
        <w:t xml:space="preserve"> tra le diocesi di Arezzo e Siena</w:t>
      </w:r>
      <w:r w:rsidR="00401186">
        <w:t xml:space="preserve"> per il controllo di alcune pievi situate nel</w:t>
      </w:r>
      <w:r w:rsidR="00401186" w:rsidRPr="00FA54DB">
        <w:rPr>
          <w:i/>
        </w:rPr>
        <w:t xml:space="preserve"> territori</w:t>
      </w:r>
      <w:r w:rsidR="00FA54DB">
        <w:rPr>
          <w:i/>
        </w:rPr>
        <w:t>um</w:t>
      </w:r>
      <w:r w:rsidR="00401186">
        <w:t xml:space="preserve"> senese</w:t>
      </w:r>
      <w:r w:rsidR="00FA77CD">
        <w:t xml:space="preserve"> e</w:t>
      </w:r>
      <w:r>
        <w:t xml:space="preserve"> alla quale appartengono anche, per quel che riguarda i secoli V</w:t>
      </w:r>
      <w:r w:rsidR="00B6753C">
        <w:t>I</w:t>
      </w:r>
      <w:r>
        <w:t xml:space="preserve">II-IX, i seguenti documenti: CDL, I, nn. 17, 19 e 20 (agosto 714, 715 giugno 20 e 715 luglio 5); CDL, III/1, nn. 12 e 13 (715 marzo 6 e 715 ottobre 14); Pasqui n. 11 (752 maggio 19); DK, n. 150 (a. 783), </w:t>
      </w:r>
      <w:r w:rsidR="00ED39BA" w:rsidRPr="001826B8">
        <w:rPr>
          <w:i/>
        </w:rPr>
        <w:t>ChLA</w:t>
      </w:r>
      <w:r>
        <w:rPr>
          <w:vertAlign w:val="superscript"/>
        </w:rPr>
        <w:t xml:space="preserve">2  </w:t>
      </w:r>
      <w:r>
        <w:t xml:space="preserve">XC, n. 1 (801 marzo 4); </w:t>
      </w:r>
      <w:r w:rsidRPr="001826B8">
        <w:rPr>
          <w:i/>
        </w:rPr>
        <w:t>ChLA</w:t>
      </w:r>
      <w:r>
        <w:rPr>
          <w:vertAlign w:val="superscript"/>
        </w:rPr>
        <w:t>2</w:t>
      </w:r>
      <w:r>
        <w:t xml:space="preserve">, XC, n. 3 (817 agosto 19); </w:t>
      </w:r>
      <w:r w:rsidRPr="001826B8">
        <w:rPr>
          <w:i/>
        </w:rPr>
        <w:t>ChLA</w:t>
      </w:r>
      <w:r>
        <w:rPr>
          <w:vertAlign w:val="superscript"/>
        </w:rPr>
        <w:t>2</w:t>
      </w:r>
      <w:r w:rsidR="00ED39BA">
        <w:t xml:space="preserve">, XC, n. 5 (ottobre 833); </w:t>
      </w:r>
      <w:r w:rsidR="00ED39BA" w:rsidRPr="001826B8">
        <w:rPr>
          <w:i/>
        </w:rPr>
        <w:t>ChLA</w:t>
      </w:r>
      <w:r w:rsidR="00ED39BA">
        <w:rPr>
          <w:vertAlign w:val="superscript"/>
        </w:rPr>
        <w:t>2</w:t>
      </w:r>
      <w:r>
        <w:t xml:space="preserve">, XC, n. 6 (833 dicembre 9); Manaresi n. 53 (a. 850); </w:t>
      </w:r>
      <w:r w:rsidR="001826B8" w:rsidRPr="001826B8">
        <w:rPr>
          <w:i/>
        </w:rPr>
        <w:t>ChLA</w:t>
      </w:r>
      <w:r>
        <w:rPr>
          <w:vertAlign w:val="superscript"/>
        </w:rPr>
        <w:t>2</w:t>
      </w:r>
      <w:r>
        <w:t xml:space="preserve">, XC, n. 16 (879 novembre 15); </w:t>
      </w:r>
      <w:r w:rsidR="00CC57C2" w:rsidRPr="001826B8">
        <w:rPr>
          <w:i/>
        </w:rPr>
        <w:t>ChLA</w:t>
      </w:r>
      <w:r w:rsidR="00CC57C2">
        <w:rPr>
          <w:vertAlign w:val="superscript"/>
        </w:rPr>
        <w:t>2</w:t>
      </w:r>
      <w:r>
        <w:t xml:space="preserve">, XC, n. 17 (marzo 881). </w:t>
      </w:r>
    </w:p>
    <w:p w14:paraId="62CF9184" w14:textId="1CE1A4EC" w:rsidR="009A60A3" w:rsidRDefault="009A60A3" w:rsidP="009A60A3">
      <w:pPr>
        <w:pStyle w:val="Textonotaalfinal"/>
      </w:pPr>
      <w:r>
        <w:t>Il</w:t>
      </w:r>
      <w:r w:rsidR="00DB12CD">
        <w:t xml:space="preserve"> presente</w:t>
      </w:r>
      <w:r>
        <w:t xml:space="preserve"> documento </w:t>
      </w:r>
      <w:r w:rsidR="00951FA9">
        <w:t xml:space="preserve">venne trascritto </w:t>
      </w:r>
      <w:r>
        <w:t xml:space="preserve">sul </w:t>
      </w:r>
      <w:r w:rsidRPr="00951FA9">
        <w:rPr>
          <w:i/>
        </w:rPr>
        <w:t>recto</w:t>
      </w:r>
      <w:r>
        <w:t xml:space="preserve"> del rotolo membranaceo opistografo (Rotolo n. 3 della Canonica aretina), compost</w:t>
      </w:r>
      <w:r w:rsidR="00951FA9">
        <w:t>o da cinque pergamene cucite ins</w:t>
      </w:r>
      <w:r>
        <w:t xml:space="preserve">ieme dal loro lato più corto (la </w:t>
      </w:r>
      <w:r>
        <w:rPr>
          <w:i/>
        </w:rPr>
        <w:t xml:space="preserve">conventio </w:t>
      </w:r>
      <w:r w:rsidRPr="00731A8F">
        <w:t xml:space="preserve">occupa </w:t>
      </w:r>
      <w:r>
        <w:t>la pergamena n. III di tale Rotolo) insieme ai documenti CDL, I, nn. 17 e 20 (agosto 714 e 715 luglio 5); CDL, III/1, nn. 12 e 13 (715 marzo 6 e 715 ottobre 14) e, infine, Pasqui n. 11 (752 maggio 19).</w:t>
      </w:r>
    </w:p>
    <w:p w14:paraId="500E6186" w14:textId="1124973D" w:rsidR="009A60A3" w:rsidRDefault="009A60A3" w:rsidP="009A60A3">
      <w:pPr>
        <w:jc w:val="both"/>
        <w:rPr>
          <w:rFonts w:ascii="Times New Roman" w:hAnsi="Times New Roman"/>
          <w:sz w:val="20"/>
        </w:rPr>
      </w:pPr>
      <w:r>
        <w:rPr>
          <w:rFonts w:ascii="Times New Roman" w:hAnsi="Times New Roman"/>
          <w:sz w:val="20"/>
        </w:rPr>
        <w:t xml:space="preserve">La lite per il controllo delle pievi si protrasse dall’anno 650 ca. all’anno 1220 con esito quasi sempre favorevole alla chiesa di Arezzo. L’analisi delle carte </w:t>
      </w:r>
      <w:r w:rsidR="00877C08">
        <w:rPr>
          <w:rFonts w:ascii="Times New Roman" w:hAnsi="Times New Roman"/>
          <w:sz w:val="20"/>
        </w:rPr>
        <w:t>di questa controversia</w:t>
      </w:r>
      <w:r w:rsidR="00BB2D05">
        <w:rPr>
          <w:rFonts w:ascii="Times New Roman" w:hAnsi="Times New Roman"/>
          <w:sz w:val="20"/>
        </w:rPr>
        <w:t xml:space="preserve"> datate in</w:t>
      </w:r>
      <w:r w:rsidR="005141E3">
        <w:rPr>
          <w:rFonts w:ascii="Times New Roman" w:hAnsi="Times New Roman"/>
          <w:sz w:val="20"/>
        </w:rPr>
        <w:t xml:space="preserve"> epoca</w:t>
      </w:r>
      <w:r>
        <w:rPr>
          <w:rFonts w:ascii="Times New Roman" w:hAnsi="Times New Roman"/>
          <w:sz w:val="20"/>
        </w:rPr>
        <w:t xml:space="preserve"> longobarda e carolingia ha occupato, e occupa, un ruolo centrale nella storiografia sull’Alto Medioevo italiano sin dagli inizi del XX secolo in pagine che riguardano non soltanto studi locali (Lusini 1901; Tafi 1972, </w:t>
      </w:r>
      <w:r>
        <w:rPr>
          <w:rFonts w:ascii="Times New Roman" w:hAnsi="Times New Roman"/>
          <w:color w:val="262626"/>
          <w:sz w:val="20"/>
        </w:rPr>
        <w:t xml:space="preserve">171-176, 191-198 e 227-240; Maroni 1973, pp. 141-216; </w:t>
      </w:r>
      <w:r>
        <w:rPr>
          <w:rFonts w:ascii="Times New Roman" w:hAnsi="Times New Roman"/>
          <w:sz w:val="20"/>
        </w:rPr>
        <w:t>Fatucchi 1973-5, pp. 238-320; Fatucchi 1985, pp. 55-71</w:t>
      </w:r>
      <w:r>
        <w:rPr>
          <w:rFonts w:ascii="Times New Roman" w:hAnsi="Times New Roman"/>
          <w:color w:val="262626"/>
          <w:sz w:val="20"/>
        </w:rPr>
        <w:t xml:space="preserve">) ma </w:t>
      </w:r>
      <w:r w:rsidR="00B6753C">
        <w:rPr>
          <w:rFonts w:ascii="Times New Roman" w:hAnsi="Times New Roman"/>
          <w:color w:val="262626"/>
          <w:sz w:val="20"/>
        </w:rPr>
        <w:t>anche riflessioni sulla Toscana e su Siena,</w:t>
      </w:r>
      <w:r>
        <w:rPr>
          <w:rFonts w:ascii="Times New Roman" w:hAnsi="Times New Roman"/>
          <w:color w:val="262626"/>
          <w:sz w:val="20"/>
        </w:rPr>
        <w:t xml:space="preserve"> Arezzo e</w:t>
      </w:r>
      <w:r w:rsidR="00B6753C">
        <w:rPr>
          <w:rFonts w:ascii="Times New Roman" w:hAnsi="Times New Roman"/>
          <w:color w:val="262626"/>
          <w:sz w:val="20"/>
        </w:rPr>
        <w:t xml:space="preserve"> il</w:t>
      </w:r>
      <w:r>
        <w:rPr>
          <w:rFonts w:ascii="Times New Roman" w:hAnsi="Times New Roman"/>
          <w:color w:val="262626"/>
          <w:sz w:val="20"/>
        </w:rPr>
        <w:t xml:space="preserve"> loro territorio (</w:t>
      </w:r>
      <w:r>
        <w:rPr>
          <w:rFonts w:ascii="Times New Roman" w:hAnsi="Times New Roman"/>
          <w:sz w:val="20"/>
        </w:rPr>
        <w:t>Schneider 1975 – ed. or.1914 –, pp.</w:t>
      </w:r>
      <w:r>
        <w:rPr>
          <w:rFonts w:ascii="Times New Roman" w:hAnsi="Times New Roman"/>
          <w:b/>
          <w:sz w:val="20"/>
        </w:rPr>
        <w:t xml:space="preserve"> </w:t>
      </w:r>
      <w:r>
        <w:rPr>
          <w:rFonts w:ascii="Times New Roman" w:hAnsi="Times New Roman"/>
          <w:sz w:val="20"/>
        </w:rPr>
        <w:t xml:space="preserve">92 e 97 e ss; </w:t>
      </w:r>
      <w:r>
        <w:rPr>
          <w:rFonts w:ascii="Times New Roman" w:hAnsi="Times New Roman"/>
          <w:color w:val="262626"/>
          <w:sz w:val="20"/>
        </w:rPr>
        <w:t xml:space="preserve"> Tabacco 1973, </w:t>
      </w:r>
      <w:r>
        <w:rPr>
          <w:rFonts w:ascii="Times New Roman" w:hAnsi="Times New Roman"/>
          <w:sz w:val="20"/>
        </w:rPr>
        <w:t xml:space="preserve">pp. 163 e ss.; </w:t>
      </w:r>
      <w:r>
        <w:rPr>
          <w:rFonts w:ascii="Times New Roman" w:hAnsi="Times New Roman"/>
          <w:color w:val="262626"/>
          <w:sz w:val="20"/>
        </w:rPr>
        <w:t xml:space="preserve">Delumeau 1996, pp. 475-584; Licciardello 2005, pp. 125-126; Spicciani 2007, pp. 232-234; Azzara 2012, pp. 35-40), così come saggi sulla </w:t>
      </w:r>
      <w:r w:rsidR="00653635">
        <w:rPr>
          <w:rFonts w:ascii="Times New Roman" w:hAnsi="Times New Roman"/>
          <w:sz w:val="20"/>
        </w:rPr>
        <w:t>giustizia e il</w:t>
      </w:r>
      <w:r>
        <w:rPr>
          <w:rFonts w:ascii="Times New Roman" w:hAnsi="Times New Roman"/>
          <w:sz w:val="20"/>
        </w:rPr>
        <w:t xml:space="preserve"> diritto altomedievali (Besta 1906, pp. 61-92; Delumeau 1978, pp. 563-605; Delumeau 1983, pp. 45-67; Bougard 1995, pp. 342-3; Loschiavo 2004, pp. 214-217, Heil 2013, pp. 23-88</w:t>
      </w:r>
      <w:r w:rsidR="00CB0781">
        <w:rPr>
          <w:rFonts w:ascii="Times New Roman" w:hAnsi="Times New Roman"/>
          <w:sz w:val="20"/>
        </w:rPr>
        <w:t xml:space="preserve"> e 435-438</w:t>
      </w:r>
      <w:r>
        <w:rPr>
          <w:rFonts w:ascii="Times New Roman" w:hAnsi="Times New Roman"/>
          <w:sz w:val="20"/>
        </w:rPr>
        <w:t xml:space="preserve">), e occupa un ruolo centrale </w:t>
      </w:r>
      <w:r w:rsidR="00FE67B0">
        <w:rPr>
          <w:rFonts w:ascii="Times New Roman" w:hAnsi="Times New Roman"/>
          <w:sz w:val="20"/>
        </w:rPr>
        <w:t>per quanto riguarda le</w:t>
      </w:r>
      <w:r>
        <w:rPr>
          <w:rFonts w:ascii="Times New Roman" w:hAnsi="Times New Roman"/>
          <w:sz w:val="20"/>
        </w:rPr>
        <w:t xml:space="preserve"> interpretazioni </w:t>
      </w:r>
      <w:r w:rsidR="00FE67B0">
        <w:rPr>
          <w:rFonts w:ascii="Times New Roman" w:hAnsi="Times New Roman"/>
          <w:sz w:val="20"/>
        </w:rPr>
        <w:t>relative a</w:t>
      </w:r>
      <w:r>
        <w:rPr>
          <w:rFonts w:ascii="Times New Roman" w:hAnsi="Times New Roman"/>
          <w:sz w:val="20"/>
        </w:rPr>
        <w:t>ll’or</w:t>
      </w:r>
      <w:r w:rsidR="00B81C76">
        <w:rPr>
          <w:rFonts w:ascii="Times New Roman" w:hAnsi="Times New Roman"/>
          <w:sz w:val="20"/>
        </w:rPr>
        <w:t>ganizzazione del territorio e a</w:t>
      </w:r>
      <w:r>
        <w:rPr>
          <w:rFonts w:ascii="Times New Roman" w:hAnsi="Times New Roman"/>
          <w:sz w:val="20"/>
        </w:rPr>
        <w:t xml:space="preserve">lla cura d’anime nelle campagne altomedievali (Fasoli 1958, pp. 104 e 160; Bertolini 1960, pp. 465-473; Bognetti 1968, pp. 408 e ss.; Castagnetti 1979, pp. 29-39; Violante 1983, pp. 1023-1029 e passim; Ronzani 2009, pp. 200-208); nonché in alcune delle principali riflessioni sulla storia sociale e istituzionale del </w:t>
      </w:r>
      <w:r w:rsidRPr="00480190">
        <w:rPr>
          <w:rFonts w:ascii="Times New Roman" w:hAnsi="Times New Roman"/>
          <w:i/>
          <w:sz w:val="20"/>
        </w:rPr>
        <w:t>Regnum Langobardorum</w:t>
      </w:r>
      <w:r>
        <w:rPr>
          <w:rFonts w:ascii="Times New Roman" w:hAnsi="Times New Roman"/>
          <w:sz w:val="20"/>
        </w:rPr>
        <w:t xml:space="preserve"> (Tabacco 1969, pp 228-232 e pp. 255-259; Everett 2003, pp. 189-196; Gasparri 2004, pp. 5-16 e 18-19 e Gasparri 2012, pp. 46-48 e 177-178) e dell’Europa altomedievale (Wickham 2005, pp. 212-213 e pp. 392-3).</w:t>
      </w:r>
      <w:r>
        <w:rPr>
          <w:rFonts w:ascii="Times New Roman" w:hAnsi="Times New Roman"/>
          <w:b/>
          <w:sz w:val="20"/>
        </w:rPr>
        <w:t xml:space="preserve"> </w:t>
      </w:r>
      <w:r>
        <w:rPr>
          <w:rFonts w:ascii="Times New Roman" w:hAnsi="Times New Roman"/>
          <w:color w:val="262626"/>
          <w:sz w:val="20"/>
        </w:rPr>
        <w:t>Infine, la disputa ha interessato anche storici dell’architettura (da ultimo, Mo</w:t>
      </w:r>
      <w:r w:rsidR="00B97F7F">
        <w:rPr>
          <w:rFonts w:ascii="Times New Roman" w:hAnsi="Times New Roman"/>
          <w:color w:val="262626"/>
          <w:sz w:val="20"/>
        </w:rPr>
        <w:t>retti 2007, pp. 201-203). D</w:t>
      </w:r>
      <w:r>
        <w:rPr>
          <w:rFonts w:ascii="Times New Roman" w:hAnsi="Times New Roman"/>
          <w:color w:val="262626"/>
          <w:sz w:val="20"/>
        </w:rPr>
        <w:t xml:space="preserve">i recente, </w:t>
      </w:r>
      <w:r>
        <w:rPr>
          <w:rFonts w:ascii="Times New Roman" w:hAnsi="Times New Roman"/>
          <w:sz w:val="20"/>
        </w:rPr>
        <w:t>anche gli archeologi</w:t>
      </w:r>
      <w:r w:rsidR="00B97F7F">
        <w:rPr>
          <w:rFonts w:ascii="Times New Roman" w:hAnsi="Times New Roman"/>
          <w:sz w:val="20"/>
        </w:rPr>
        <w:t xml:space="preserve"> che</w:t>
      </w:r>
      <w:r>
        <w:rPr>
          <w:rFonts w:ascii="Times New Roman" w:hAnsi="Times New Roman"/>
          <w:sz w:val="20"/>
        </w:rPr>
        <w:t xml:space="preserve"> hanno </w:t>
      </w:r>
      <w:r w:rsidR="00B97F7F">
        <w:rPr>
          <w:rFonts w:ascii="Times New Roman" w:hAnsi="Times New Roman"/>
          <w:sz w:val="20"/>
        </w:rPr>
        <w:t>studiato</w:t>
      </w:r>
      <w:r w:rsidR="000E2682">
        <w:rPr>
          <w:rFonts w:ascii="Times New Roman" w:hAnsi="Times New Roman"/>
          <w:sz w:val="20"/>
        </w:rPr>
        <w:t>, da un</w:t>
      </w:r>
      <w:r>
        <w:rPr>
          <w:rFonts w:ascii="Times New Roman" w:hAnsi="Times New Roman"/>
          <w:sz w:val="20"/>
        </w:rPr>
        <w:t xml:space="preserve"> punto di </w:t>
      </w:r>
      <w:r w:rsidR="00280629">
        <w:rPr>
          <w:rFonts w:ascii="Times New Roman" w:hAnsi="Times New Roman"/>
          <w:sz w:val="20"/>
        </w:rPr>
        <w:t xml:space="preserve">vista materiale, </w:t>
      </w:r>
      <w:r>
        <w:rPr>
          <w:rFonts w:ascii="Times New Roman" w:hAnsi="Times New Roman"/>
          <w:sz w:val="20"/>
        </w:rPr>
        <w:t xml:space="preserve">le pievi citate nel </w:t>
      </w:r>
      <w:r>
        <w:rPr>
          <w:rFonts w:ascii="Times New Roman" w:hAnsi="Times New Roman"/>
          <w:i/>
          <w:sz w:val="20"/>
        </w:rPr>
        <w:t>dossier</w:t>
      </w:r>
      <w:r>
        <w:rPr>
          <w:rFonts w:ascii="Times New Roman" w:hAnsi="Times New Roman"/>
          <w:sz w:val="20"/>
        </w:rPr>
        <w:t xml:space="preserve"> della lite, in particolare nei casi di S. Pietro a  Pava e San Pietro d’Asso (Felici 2009, pp. 431-440; S. Campana, C. Felici, B. Frezza 2012, pp. 463-480; Hobart et alii 2012, pp. 175-213; Ricci et alii 2012, pp. 2393-2398).</w:t>
      </w:r>
    </w:p>
  </w:endnote>
  <w:endnote w:id="2">
    <w:p w14:paraId="61E564F9" w14:textId="7921B3E1" w:rsidR="003F11FB" w:rsidRDefault="003F11FB" w:rsidP="003F11FB">
      <w:pPr>
        <w:pStyle w:val="Textonotaalfinal"/>
      </w:pPr>
      <w:r>
        <w:rPr>
          <w:rStyle w:val="Refdenotaalfinal"/>
        </w:rPr>
        <w:endnoteRef/>
      </w:r>
      <w:r>
        <w:t xml:space="preserve"> Luigi Schiaparelli indicava, seguendo Pasqui (1899, I, p. 3), l’anno 1056 come data possibile dell’esecuzione delle copie dei documenti d’epoca longobarda presenti nel Rotolo n. 3. Infatti, nel</w:t>
      </w:r>
      <w:r w:rsidR="005E56E2">
        <w:t>la pergamena n. II del Rotolo è</w:t>
      </w:r>
      <w:r>
        <w:t xml:space="preserve"> scritto: </w:t>
      </w:r>
      <w:r>
        <w:rPr>
          <w:i/>
        </w:rPr>
        <w:t>(C) Haec sunt exemplaria de privilegiis apostolicorum et preceptis regum et impera</w:t>
      </w:r>
      <w:r w:rsidR="009F7C51">
        <w:rPr>
          <w:i/>
        </w:rPr>
        <w:t>t</w:t>
      </w:r>
      <w:r w:rsidR="00644B7E">
        <w:rPr>
          <w:i/>
        </w:rPr>
        <w:t>orum a veteribus tomis trans</w:t>
      </w:r>
      <w:r w:rsidR="009F7C51">
        <w:rPr>
          <w:i/>
        </w:rPr>
        <w:t xml:space="preserve">/ </w:t>
      </w:r>
      <w:r>
        <w:rPr>
          <w:i/>
        </w:rPr>
        <w:t>scripta super contentione Aretinensis ecclesiae atque Senensis, que ego Ger</w:t>
      </w:r>
      <w:r w:rsidR="00644B7E">
        <w:rPr>
          <w:i/>
        </w:rPr>
        <w:t>ardus sancti Donati primicerius</w:t>
      </w:r>
      <w:r>
        <w:rPr>
          <w:i/>
        </w:rPr>
        <w:t>/ fideliter denotavi, Deo et domino nostro Iesu Christo teste et omnibus sanctis, si damnatione cu</w:t>
      </w:r>
      <w:r w:rsidR="00644B7E">
        <w:rPr>
          <w:i/>
        </w:rPr>
        <w:t>m Iuda traditore in die extremi</w:t>
      </w:r>
      <w:r>
        <w:rPr>
          <w:i/>
        </w:rPr>
        <w:t>/ examinis non confundar, de quantum legere potui iuxta meam conscientiam, nihil plus a</w:t>
      </w:r>
      <w:r w:rsidR="00644B7E">
        <w:rPr>
          <w:i/>
        </w:rPr>
        <w:t>ut minus describens</w:t>
      </w:r>
      <w:r>
        <w:rPr>
          <w:i/>
        </w:rPr>
        <w:t xml:space="preserve">/ per manus Geçonis eiusdem sancte Aretine aecclesie notarii </w:t>
      </w:r>
      <w:r>
        <w:t xml:space="preserve">(edito in CDL, I, p. 9, nell’introduzione proposta da Schiaparelli al documento che qui si presenta). Successivamente, Carlrichard Brühl </w:t>
      </w:r>
      <w:r w:rsidR="00CB6BAF">
        <w:t xml:space="preserve">(CDL III/1, n. 12, p 52) </w:t>
      </w:r>
      <w:r>
        <w:t>realizzava una diversa proposta di datazione in base all’analisi fotografica delle pergamene del Rotolo n. 3 eseguita, su sua richies</w:t>
      </w:r>
      <w:r w:rsidR="0049635B">
        <w:t>ta, da Bernhard Bischoff,</w:t>
      </w:r>
      <w:r>
        <w:t xml:space="preserve"> che collocava “nella seconda metà del IX secolo o al più tardi nel primo terzo del X” questa e le altre trascrizioni</w:t>
      </w:r>
      <w:r w:rsidR="00427965">
        <w:t xml:space="preserve"> dei</w:t>
      </w:r>
      <w:r w:rsidR="00D234D4">
        <w:t xml:space="preserve"> documenti</w:t>
      </w:r>
      <w:r w:rsidR="0019292D">
        <w:t xml:space="preserve"> di epoca</w:t>
      </w:r>
      <w:r w:rsidR="000D310D">
        <w:t xml:space="preserve"> longobarda</w:t>
      </w:r>
      <w:r>
        <w:t xml:space="preserve"> </w:t>
      </w:r>
      <w:r w:rsidR="00FD602F">
        <w:t>(si vedano anche le consi</w:t>
      </w:r>
      <w:r w:rsidR="00F14EBA">
        <w:t>derazioni di Brühl 1970, p. 96).</w:t>
      </w:r>
      <w:r w:rsidR="00FD602F">
        <w:t xml:space="preserve"> </w:t>
      </w:r>
      <w:r>
        <w:t xml:space="preserve">Recentemente, François Bougard </w:t>
      </w:r>
      <w:r w:rsidR="00F14EBA">
        <w:t xml:space="preserve">tornando sull’argomento </w:t>
      </w:r>
      <w:r w:rsidR="00956896">
        <w:t xml:space="preserve">ha negato </w:t>
      </w:r>
      <w:r>
        <w:t xml:space="preserve">l’ipotesi di Bischoff e Brühl e </w:t>
      </w:r>
      <w:r w:rsidR="00C31D58">
        <w:t>ha segnalato</w:t>
      </w:r>
      <w:r>
        <w:t xml:space="preserve"> come più probabile </w:t>
      </w:r>
      <w:r w:rsidR="0073399B">
        <w:t xml:space="preserve">data </w:t>
      </w:r>
      <w:r>
        <w:t>per la reali</w:t>
      </w:r>
      <w:r w:rsidR="0073399B">
        <w:t>zzazione delle copie cucite insi</w:t>
      </w:r>
      <w:r>
        <w:t xml:space="preserve">eme nel Rotolo n. 3 un tempo di poco precedente al concilio lateranense del 1059, momento nel </w:t>
      </w:r>
      <w:r w:rsidR="00C74A55">
        <w:t xml:space="preserve">quale </w:t>
      </w:r>
      <w:r>
        <w:t xml:space="preserve">dovettero essere presentate </w:t>
      </w:r>
      <w:r w:rsidR="00F40FC1">
        <w:t xml:space="preserve">in giudizio </w:t>
      </w:r>
      <w:r w:rsidR="009E311A">
        <w:t xml:space="preserve">davanti </w:t>
      </w:r>
      <w:r>
        <w:t>al tribunale convocato a Roma</w:t>
      </w:r>
      <w:r w:rsidR="00AD4BC1" w:rsidRPr="00AD4BC1">
        <w:t xml:space="preserve"> </w:t>
      </w:r>
      <w:r w:rsidR="00AD4BC1">
        <w:t>a sostegno delle tesi aretine</w:t>
      </w:r>
      <w:r>
        <w:t>. Le ragioni di Bougard</w:t>
      </w:r>
      <w:r w:rsidR="00247E74">
        <w:t>, che attribuisce</w:t>
      </w:r>
      <w:r>
        <w:t xml:space="preserve"> nuovamente l’opera a Gezone, </w:t>
      </w:r>
      <w:r>
        <w:rPr>
          <w:i/>
        </w:rPr>
        <w:t>sancte Aretine aecclesie notarius</w:t>
      </w:r>
      <w:r w:rsidR="009E2F47">
        <w:t>, ri</w:t>
      </w:r>
      <w:r>
        <w:t>g</w:t>
      </w:r>
      <w:r w:rsidR="009E2F47">
        <w:t>u</w:t>
      </w:r>
      <w:r>
        <w:t>ardano la sua appartenenza alla “première génération des notaires actifs auprès de la cathédrale au XI</w:t>
      </w:r>
      <w:r>
        <w:rPr>
          <w:vertAlign w:val="superscript"/>
        </w:rPr>
        <w:t>e</w:t>
      </w:r>
      <w:r>
        <w:t xml:space="preserve"> siècle” (Bougard 2006, p. 119). Notai </w:t>
      </w:r>
      <w:r w:rsidR="00175C32">
        <w:t>a cui si debe quel</w:t>
      </w:r>
      <w:r>
        <w:t xml:space="preserve"> cambio grafico osservabile nel “laboratorio” aretino studiato nel </w:t>
      </w:r>
      <w:r w:rsidR="00300ED7">
        <w:t xml:space="preserve">dettaglio da Giovanna Nicolaj. Ed è </w:t>
      </w:r>
      <w:r>
        <w:t>proprio Nicolaj,</w:t>
      </w:r>
      <w:r w:rsidR="008315EE">
        <w:t xml:space="preserve"> che</w:t>
      </w:r>
      <w:r>
        <w:t xml:space="preserve"> nel 2012, in margine a un intervento</w:t>
      </w:r>
      <w:r w:rsidR="001E2FF2">
        <w:t xml:space="preserve"> in</w:t>
      </w:r>
      <w:r>
        <w:t xml:space="preserve"> </w:t>
      </w:r>
      <w:r w:rsidR="001E2FF2">
        <w:t>tema di</w:t>
      </w:r>
      <w:r>
        <w:t xml:space="preserve"> fa</w:t>
      </w:r>
      <w:r w:rsidR="009E0C2F">
        <w:t>lso documentario</w:t>
      </w:r>
      <w:r w:rsidR="00414C0C">
        <w:t>, propon</w:t>
      </w:r>
      <w:r>
        <w:t>e</w:t>
      </w:r>
      <w:r w:rsidR="00414C0C">
        <w:t xml:space="preserve"> il ritorno</w:t>
      </w:r>
      <w:r>
        <w:t xml:space="preserve"> alle ipotesi di Bischoff, </w:t>
      </w:r>
      <w:r w:rsidR="00731C83">
        <w:t xml:space="preserve">ovvero a una </w:t>
      </w:r>
      <w:r>
        <w:t xml:space="preserve">datazione al pieno secolo IX delle trascrizioni di epoca liutprandea: “Gerardo, primicerio aretino dell’XI, è intervenuto a correggere le copie del IX sul </w:t>
      </w:r>
      <w:r w:rsidRPr="00792BD1">
        <w:rPr>
          <w:i/>
        </w:rPr>
        <w:t>recto</w:t>
      </w:r>
      <w:r>
        <w:t xml:space="preserve"> (</w:t>
      </w:r>
      <w:r>
        <w:rPr>
          <w:i/>
        </w:rPr>
        <w:t>denotavi</w:t>
      </w:r>
      <w:r>
        <w:t xml:space="preserve">)”, </w:t>
      </w:r>
      <w:r w:rsidR="00A2452D">
        <w:t xml:space="preserve">Feo - </w:t>
      </w:r>
      <w:r w:rsidR="00D30CAD">
        <w:t>Nicolaj 2012, p. 213. Tuttavia, i</w:t>
      </w:r>
      <w:r>
        <w:t xml:space="preserve">n mancanza di nuovi studi critici </w:t>
      </w:r>
      <w:r w:rsidR="00FD560E">
        <w:t>specifici sui problemi relativi alla materiale redazione del rotolo</w:t>
      </w:r>
      <w:r w:rsidR="001B5C9C">
        <w:t>,</w:t>
      </w:r>
      <w:r w:rsidR="00FD560E">
        <w:t xml:space="preserve"> </w:t>
      </w:r>
      <w:r>
        <w:t>la questione deve rimanere aperta.</w:t>
      </w:r>
    </w:p>
  </w:endnote>
  <w:endnote w:id="3">
    <w:p w14:paraId="385F973F" w14:textId="35A230C5" w:rsidR="003F11FB" w:rsidRDefault="003F11FB" w:rsidP="003F11FB">
      <w:pPr>
        <w:pStyle w:val="Textonotaalfinal"/>
      </w:pPr>
      <w:r>
        <w:rPr>
          <w:rStyle w:val="Refdenotaalfinal"/>
        </w:rPr>
        <w:t>*</w:t>
      </w:r>
      <w:r>
        <w:t xml:space="preserve"> </w:t>
      </w:r>
      <w:r w:rsidR="000D18BC" w:rsidRPr="005F7E7F">
        <w:rPr>
          <w:lang w:val="es-ES_tradnl"/>
        </w:rPr>
        <w:t>La tra</w:t>
      </w:r>
      <w:r w:rsidR="00B716FA">
        <w:rPr>
          <w:lang w:val="es-ES_tradnl"/>
        </w:rPr>
        <w:t>scrizione è stata condotta su una</w:t>
      </w:r>
      <w:r w:rsidR="000D18BC" w:rsidRPr="005F7E7F">
        <w:rPr>
          <w:lang w:val="es-ES_tradnl"/>
        </w:rPr>
        <w:t xml:space="preserve"> riproduzione </w:t>
      </w:r>
      <w:r w:rsidR="000D18BC">
        <w:rPr>
          <w:lang w:val="es-ES_tradnl"/>
        </w:rPr>
        <w:t xml:space="preserve">fotografica di B </w:t>
      </w:r>
      <w:r w:rsidR="00967897">
        <w:rPr>
          <w:lang w:val="es-ES_tradnl"/>
        </w:rPr>
        <w:t>mes</w:t>
      </w:r>
      <w:r w:rsidR="0044441C">
        <w:rPr>
          <w:lang w:val="es-ES_tradnl"/>
        </w:rPr>
        <w:t>s</w:t>
      </w:r>
      <w:r w:rsidR="00967897">
        <w:rPr>
          <w:lang w:val="es-ES_tradnl"/>
        </w:rPr>
        <w:t>a a mia disposizione dal personale d</w:t>
      </w:r>
      <w:r>
        <w:t>ell’Archivio Storico Diocesano di Arezzo.</w:t>
      </w:r>
    </w:p>
  </w:endnote>
  <w:endnote w:id="4">
    <w:p w14:paraId="463A3037" w14:textId="58BF7BBC" w:rsidR="003F11FB" w:rsidRDefault="003F11FB" w:rsidP="003F11FB">
      <w:pPr>
        <w:pStyle w:val="Textonotaalfinal"/>
      </w:pPr>
      <w:r>
        <w:rPr>
          <w:rStyle w:val="Refdenotaalfinal"/>
        </w:rPr>
        <w:endnoteRef/>
      </w:r>
      <w:r>
        <w:t xml:space="preserve"> La sua presenza, insieme a quella del vescovo aretino Servando, consente di datare in mod</w:t>
      </w:r>
      <w:r w:rsidR="006D7E4C">
        <w:t>o approssimativo il documento. Mauro f</w:t>
      </w:r>
      <w:r>
        <w:t>u eletto vescovo di Siena negli anni del regno di Rotari (636-652) e intervenne al concilio Lateranense de</w:t>
      </w:r>
      <w:r w:rsidR="00642505">
        <w:t>ll’ottobre 649 contro i monoteli</w:t>
      </w:r>
      <w:r>
        <w:t xml:space="preserve">ti. La storiografia tradizionale segnala il viaggio di ritorno da </w:t>
      </w:r>
      <w:r w:rsidR="00F010DA">
        <w:t xml:space="preserve">quel concilio romano </w:t>
      </w:r>
      <w:r>
        <w:t>come il momento in cui i vescovi di Arezzo e Siena avrebbero raggiunto l’accordo, Tafi 1986, p. 32.</w:t>
      </w:r>
    </w:p>
  </w:endnote>
  <w:endnote w:id="5">
    <w:p w14:paraId="41589023" w14:textId="77777777" w:rsidR="003F11FB" w:rsidRDefault="003F11FB" w:rsidP="003F11FB">
      <w:pPr>
        <w:pStyle w:val="Textonotaalfinal"/>
      </w:pPr>
      <w:r>
        <w:rPr>
          <w:rStyle w:val="Refdenotaalfinal"/>
        </w:rPr>
        <w:endnoteRef/>
      </w:r>
      <w:r>
        <w:t xml:space="preserve"> Vescovo di Arezzo (640?-655?), Tafi 1986, p. 32-33.</w:t>
      </w:r>
    </w:p>
  </w:endnote>
  <w:endnote w:id="6">
    <w:p w14:paraId="7D9E669A" w14:textId="07EF9407" w:rsidR="003F11FB" w:rsidRDefault="003F11FB" w:rsidP="003F11FB">
      <w:pPr>
        <w:pStyle w:val="Textonotaalfinal"/>
      </w:pPr>
      <w:r>
        <w:rPr>
          <w:rStyle w:val="Refdenotaalfinal"/>
        </w:rPr>
        <w:endnoteRef/>
      </w:r>
      <w:r>
        <w:t xml:space="preserve"> Le lacune del documento impediscono una identificazione univoca della pieve poiché sono varie le chiese </w:t>
      </w:r>
      <w:r w:rsidR="00ED701A">
        <w:t>battesimali che condividono la medesima intitolazione</w:t>
      </w:r>
      <w:r>
        <w:t xml:space="preserve"> nel </w:t>
      </w:r>
      <w:r>
        <w:rPr>
          <w:i/>
        </w:rPr>
        <w:t>dossier</w:t>
      </w:r>
      <w:r>
        <w:t xml:space="preserve"> documentario della lite tra gli episcopi di Arezzo e Siena</w:t>
      </w:r>
      <w:r w:rsidR="00277C2A">
        <w:t>. Ciò nonostante Schiaparelli identificava questa</w:t>
      </w:r>
      <w:r w:rsidR="00EB47BA">
        <w:t xml:space="preserve"> pieve con Santa</w:t>
      </w:r>
      <w:r>
        <w:t xml:space="preserve"> </w:t>
      </w:r>
      <w:r w:rsidR="0013338F">
        <w:t>Maria in Pàcina (CDL, I, p. 10),</w:t>
      </w:r>
      <w:r w:rsidR="00C15340">
        <w:t xml:space="preserve"> </w:t>
      </w:r>
      <w:r w:rsidR="0029132E">
        <w:t xml:space="preserve">nel </w:t>
      </w:r>
      <w:r w:rsidR="0013338F">
        <w:t>comune di Castelnuovo Berardenga</w:t>
      </w:r>
      <w:r w:rsidR="00FA5BC6">
        <w:t xml:space="preserve"> (vid anche </w:t>
      </w:r>
      <w:r w:rsidR="00FA5BC6" w:rsidRPr="005B24F7">
        <w:t>Tafi 1998</w:t>
      </w:r>
      <w:r w:rsidR="00FA5BC6">
        <w:rPr>
          <w:i/>
        </w:rPr>
        <w:t xml:space="preserve">, </w:t>
      </w:r>
      <w:r w:rsidR="00FA5BC6">
        <w:t>pp. 267-270).</w:t>
      </w:r>
      <w:r w:rsidR="0013338F">
        <w:t xml:space="preserve"> </w:t>
      </w:r>
      <w:r w:rsidR="00C15340">
        <w:t>Se questa identificazione fosse corretta</w:t>
      </w:r>
      <w:r w:rsidR="00EC12D6">
        <w:t xml:space="preserve"> si tratterebbe della stessa pieve </w:t>
      </w:r>
      <w:r w:rsidR="0013338F">
        <w:t>citata in CDL, I, nn. 17, 19 e 20 (agosto 714, 715 giugno 20 e 715 luglio 5); CDL</w:t>
      </w:r>
      <w:r w:rsidR="00340D96">
        <w:t>, III/1, n. 13 (715 ottobre 14) e</w:t>
      </w:r>
      <w:r w:rsidR="0013338F">
        <w:t xml:space="preserve"> </w:t>
      </w:r>
      <w:r w:rsidR="00330EAD" w:rsidRPr="001826B8">
        <w:rPr>
          <w:i/>
        </w:rPr>
        <w:t>ChLA</w:t>
      </w:r>
      <w:r w:rsidR="00330EAD">
        <w:rPr>
          <w:vertAlign w:val="superscript"/>
        </w:rPr>
        <w:t>2</w:t>
      </w:r>
      <w:r w:rsidR="0013338F">
        <w:rPr>
          <w:vertAlign w:val="superscript"/>
        </w:rPr>
        <w:t xml:space="preserve">  </w:t>
      </w:r>
      <w:r w:rsidR="0013338F">
        <w:t>XC, n. 17 (marzo 881).</w:t>
      </w:r>
    </w:p>
  </w:endnote>
  <w:endnote w:id="7">
    <w:p w14:paraId="40D3249F" w14:textId="77777777" w:rsidR="003F11FB" w:rsidRDefault="003F11FB" w:rsidP="003F11FB">
      <w:pPr>
        <w:pStyle w:val="Textonotaalfinal"/>
      </w:pPr>
      <w:r>
        <w:rPr>
          <w:rStyle w:val="Refdenotaalfinal"/>
        </w:rPr>
        <w:endnoteRef/>
      </w:r>
      <w:r>
        <w:t xml:space="preserve"> Sulle lacune presenti nel documento Schiaparelli avvertiva: “non sono una riproduzione, forse neppure approssimativa, dell’ampiezza dei pasi guasti o illeggibili dell’originale e non ci possono guidare nel numero delle lettere da restituire (CDL, I, p. 9). Nella sua edizione, in nota, indica invece il numero approssimato di lettere interessate dalle lacune (CDL, I, p. 10).</w:t>
      </w:r>
    </w:p>
  </w:endnote>
  <w:endnote w:id="8">
    <w:p w14:paraId="7F30B935" w14:textId="14839B33" w:rsidR="003F11FB" w:rsidRDefault="003F11FB" w:rsidP="003F11FB">
      <w:pPr>
        <w:pStyle w:val="Textonotaalfinal"/>
      </w:pPr>
      <w:r>
        <w:rPr>
          <w:rStyle w:val="Refdenotaalfinal"/>
        </w:rPr>
        <w:endnoteRef/>
      </w:r>
      <w:r>
        <w:t xml:space="preserve"> </w:t>
      </w:r>
      <w:r w:rsidR="0015260D">
        <w:t>In l</w:t>
      </w:r>
      <w:r>
        <w:t xml:space="preserve">ocalità Dofana, </w:t>
      </w:r>
      <w:r w:rsidR="00C42037">
        <w:t xml:space="preserve">nel </w:t>
      </w:r>
      <w:r>
        <w:t xml:space="preserve">comune di Castelnuovo Berardenga. Questa è la chiesa più volte citata nel </w:t>
      </w:r>
      <w:r>
        <w:rPr>
          <w:i/>
        </w:rPr>
        <w:t>dossier</w:t>
      </w:r>
      <w:r>
        <w:t xml:space="preserve"> relativo alle pievi lungo i secoli VIII e IX, cfr. CDL, I, nn. 19 e 20 (715 giugno 20 e 715 luglio 5); CDL, III/1, n. 13 (715 ottobre 14); Pasqui n. 11 (752 maggio 19); </w:t>
      </w:r>
      <w:r w:rsidR="00F863B8" w:rsidRPr="001826B8">
        <w:rPr>
          <w:i/>
        </w:rPr>
        <w:t>ChLA</w:t>
      </w:r>
      <w:r w:rsidR="00F863B8">
        <w:rPr>
          <w:vertAlign w:val="superscript"/>
        </w:rPr>
        <w:t>2</w:t>
      </w:r>
      <w:r>
        <w:t>,</w:t>
      </w:r>
      <w:r w:rsidR="008D4EB0">
        <w:t xml:space="preserve"> XC</w:t>
      </w:r>
      <w:r w:rsidR="00073E43">
        <w:t>,</w:t>
      </w:r>
      <w:r>
        <w:t xml:space="preserve"> n. 1 (801 marzo 4); </w:t>
      </w:r>
      <w:r w:rsidR="00F863B8" w:rsidRPr="001826B8">
        <w:rPr>
          <w:i/>
        </w:rPr>
        <w:t>ChLA</w:t>
      </w:r>
      <w:r w:rsidR="00F863B8">
        <w:rPr>
          <w:vertAlign w:val="superscript"/>
        </w:rPr>
        <w:t>2</w:t>
      </w:r>
      <w:r w:rsidR="00833928">
        <w:t>, XC</w:t>
      </w:r>
      <w:r>
        <w:t>, n. 17 (marzo 881).</w:t>
      </w:r>
    </w:p>
  </w:endnote>
  <w:endnote w:id="9">
    <w:p w14:paraId="0B3E111B" w14:textId="52085DEB" w:rsidR="003F11FB" w:rsidRDefault="003F11FB" w:rsidP="003F11FB">
      <w:pPr>
        <w:pStyle w:val="Textonotaalfinal"/>
      </w:pPr>
      <w:r>
        <w:rPr>
          <w:rStyle w:val="Refdenotaalfinal"/>
        </w:rPr>
        <w:endnoteRef/>
      </w:r>
      <w:r>
        <w:t xml:space="preserve"> Le lacune del documento impediscono una identificazione univoca della pieve. Schiaparelli </w:t>
      </w:r>
      <w:r w:rsidR="0040779E">
        <w:t xml:space="preserve">(CDL, I, p. 10) </w:t>
      </w:r>
      <w:r>
        <w:t xml:space="preserve">la identifica con </w:t>
      </w:r>
      <w:r w:rsidR="0040779E">
        <w:t>San</w:t>
      </w:r>
      <w:r w:rsidR="006B21DB">
        <w:t xml:space="preserve"> Giovanni a Vescona, </w:t>
      </w:r>
      <w:r w:rsidR="00BC5371">
        <w:t xml:space="preserve">nell’odierna località di Pievina di San Giovanni, </w:t>
      </w:r>
      <w:r w:rsidR="006B21DB">
        <w:t xml:space="preserve">frazione di Asciano (Siena), </w:t>
      </w:r>
      <w:r w:rsidR="001C0CD0">
        <w:t>cfr.</w:t>
      </w:r>
      <w:r w:rsidR="00651A62">
        <w:t xml:space="preserve"> anche</w:t>
      </w:r>
      <w:r w:rsidR="002A04A9">
        <w:t xml:space="preserve"> </w:t>
      </w:r>
      <w:r w:rsidR="006B21DB" w:rsidRPr="005B24F7">
        <w:t>Tafi 1998,</w:t>
      </w:r>
      <w:r w:rsidR="006B21DB">
        <w:rPr>
          <w:i/>
        </w:rPr>
        <w:t xml:space="preserve"> </w:t>
      </w:r>
      <w:r w:rsidR="006B21DB">
        <w:t>pp. 278-280.</w:t>
      </w:r>
      <w:r w:rsidR="007C4E5F">
        <w:t xml:space="preserve"> La chiesa </w:t>
      </w:r>
      <w:r w:rsidR="00DF05A7">
        <w:t xml:space="preserve">viene citata </w:t>
      </w:r>
      <w:r w:rsidR="004522DD">
        <w:t xml:space="preserve">anche in CDL, I, nn. </w:t>
      </w:r>
      <w:r w:rsidR="00A167E8">
        <w:t xml:space="preserve">17, </w:t>
      </w:r>
      <w:r w:rsidR="008C398C">
        <w:t>19 e 20 (</w:t>
      </w:r>
      <w:r w:rsidR="00A167E8">
        <w:t xml:space="preserve">agosto 714, </w:t>
      </w:r>
      <w:r w:rsidR="00234AF3">
        <w:t xml:space="preserve">715 giugno 20 e 715 luglio 5); CDL, III/1, n. 13 (715 ottobre 14) e </w:t>
      </w:r>
      <w:r w:rsidR="00F863B8" w:rsidRPr="001826B8">
        <w:rPr>
          <w:i/>
        </w:rPr>
        <w:t>ChLA</w:t>
      </w:r>
      <w:r w:rsidR="00F863B8">
        <w:rPr>
          <w:vertAlign w:val="superscript"/>
        </w:rPr>
        <w:t>2</w:t>
      </w:r>
      <w:r w:rsidR="00234AF3">
        <w:rPr>
          <w:vertAlign w:val="superscript"/>
        </w:rPr>
        <w:t xml:space="preserve">  </w:t>
      </w:r>
      <w:r w:rsidR="00234AF3">
        <w:t>XC, n. 17 (marzo 881).</w:t>
      </w:r>
    </w:p>
  </w:endnote>
  <w:endnote w:id="10">
    <w:p w14:paraId="6722ED2E" w14:textId="1FF2EC8E" w:rsidR="003F11FB" w:rsidRDefault="003F11FB" w:rsidP="003F11FB">
      <w:pPr>
        <w:pStyle w:val="Textonotaalfinal"/>
      </w:pPr>
      <w:r>
        <w:rPr>
          <w:rStyle w:val="Refdenotaalfinal"/>
        </w:rPr>
        <w:endnoteRef/>
      </w:r>
      <w:r>
        <w:t xml:space="preserve"> Di tutte le pievi contese questa è </w:t>
      </w:r>
      <w:r w:rsidR="00C71CBD">
        <w:t>l’unica a essere intitolata a Santa</w:t>
      </w:r>
      <w:r>
        <w:t xml:space="preserve"> Restitu</w:t>
      </w:r>
      <w:r w:rsidR="00FD20F5">
        <w:t>t</w:t>
      </w:r>
      <w:r>
        <w:t>a. L’edificio era posto nel territorio di Montalcino, nella val d’Orcia, Tafi 1972, p. 204-209.</w:t>
      </w:r>
      <w:r w:rsidR="004C379B">
        <w:t xml:space="preserve"> Questa pieve viene citata anche in CDL, I, nn.</w:t>
      </w:r>
      <w:r w:rsidR="00A309A2">
        <w:t xml:space="preserve"> 17,</w:t>
      </w:r>
      <w:r w:rsidR="004C379B">
        <w:t xml:space="preserve"> 19 e 20 (</w:t>
      </w:r>
      <w:r w:rsidR="00A309A2">
        <w:t xml:space="preserve">agosto 714, </w:t>
      </w:r>
      <w:r w:rsidR="004C379B">
        <w:t xml:space="preserve">715 giugno 20 e 715 luglio 5); CDL, III/1, n. 13 (715 ottobre 14) e </w:t>
      </w:r>
      <w:r w:rsidR="00330EAD" w:rsidRPr="001826B8">
        <w:rPr>
          <w:i/>
        </w:rPr>
        <w:t>ChLA</w:t>
      </w:r>
      <w:r w:rsidR="00330EAD">
        <w:rPr>
          <w:vertAlign w:val="superscript"/>
        </w:rPr>
        <w:t>2</w:t>
      </w:r>
      <w:r w:rsidR="004C379B">
        <w:t>, XC, n. 17 (marzo 881).</w:t>
      </w:r>
    </w:p>
  </w:endnote>
  <w:endnote w:id="11">
    <w:p w14:paraId="41F1FCA4" w14:textId="4354596A" w:rsidR="003F11FB" w:rsidRDefault="003F11FB" w:rsidP="003F11FB">
      <w:pPr>
        <w:pStyle w:val="Textonotaalfinal"/>
        <w:rPr>
          <w:b/>
        </w:rPr>
      </w:pPr>
      <w:r>
        <w:rPr>
          <w:rStyle w:val="Refdenotaalfinal"/>
        </w:rPr>
        <w:endnoteRef/>
      </w:r>
      <w:r>
        <w:t xml:space="preserve"> Di difficile identificazione. Dopo </w:t>
      </w:r>
      <w:r w:rsidR="00BD56A4">
        <w:t>questa citazione, la pieve di San</w:t>
      </w:r>
      <w:r>
        <w:t xml:space="preserve"> Gervasio scompare dal </w:t>
      </w:r>
      <w:r>
        <w:rPr>
          <w:i/>
        </w:rPr>
        <w:t>dossier</w:t>
      </w:r>
      <w:r>
        <w:t xml:space="preserve"> relativo alle pievi contese.</w:t>
      </w:r>
    </w:p>
  </w:endnote>
  <w:endnote w:id="12">
    <w:p w14:paraId="7B75EDE0" w14:textId="064DBDCA" w:rsidR="003F11FB" w:rsidRDefault="003F11FB" w:rsidP="003F11FB">
      <w:pPr>
        <w:pStyle w:val="Textonotaalfinal"/>
      </w:pPr>
      <w:r>
        <w:rPr>
          <w:rStyle w:val="Refdenotaalfinal"/>
        </w:rPr>
        <w:endnoteRef/>
      </w:r>
      <w:r>
        <w:t xml:space="preserve"> In relazione con la citazione di Narsete (+ 574), è utile ricordare il ritrovamente nello sc</w:t>
      </w:r>
      <w:r w:rsidR="001A32AB">
        <w:t>avo della pieve di San Pietro a</w:t>
      </w:r>
      <w:r>
        <w:t xml:space="preserve"> Pava (San Giovanni d’Asso) di un “tesoretto” di 26 monete (sei in oro e venti in argento) che giungono sino all’anno 541. Nello scavo dell’abside della stessa pieve (ma senza relazione con il “tesoretto”) è stata anc</w:t>
      </w:r>
      <w:r w:rsidR="00716DA4">
        <w:t>he ritrovata una moneta vandala,</w:t>
      </w:r>
      <w:r>
        <w:t xml:space="preserve"> un </w:t>
      </w:r>
      <w:r>
        <w:rPr>
          <w:i/>
        </w:rPr>
        <w:t>Nummus</w:t>
      </w:r>
      <w:r>
        <w:t xml:space="preserve"> in bronzo di Gelimero (530-534), probabilmente arrivato nella zona con le truppre bizantine impegnate nella guerra grecogotica: Arslan 2007, pp. 194-199.</w:t>
      </w:r>
    </w:p>
  </w:endnote>
  <w:endnote w:id="13">
    <w:p w14:paraId="7633A375" w14:textId="144F2148" w:rsidR="003F11FB" w:rsidRDefault="003F11FB" w:rsidP="003F11FB">
      <w:pPr>
        <w:pStyle w:val="Textonotaalfinal"/>
      </w:pPr>
      <w:r>
        <w:rPr>
          <w:rStyle w:val="Refdenotaalfinal"/>
        </w:rPr>
        <w:endnoteRef/>
      </w:r>
      <w:r>
        <w:t xml:space="preserve"> S. Gasparri ha proposto di identificare questo personaggio con un gastaldo di Siena, forse pre</w:t>
      </w:r>
      <w:r w:rsidR="0088671D">
        <w:t>de</w:t>
      </w:r>
      <w:r>
        <w:t>cessore immediato del gastaldo senese Wilerat citato i</w:t>
      </w:r>
      <w:r w:rsidR="007D664E">
        <w:t>n CDL, I, n. 19 (715 giugno 20</w:t>
      </w:r>
      <w:r>
        <w:t>)</w:t>
      </w:r>
      <w:r w:rsidR="007D664E">
        <w:t>,</w:t>
      </w:r>
      <w:r>
        <w:t xml:space="preserve"> Gasparri 2004, p. 7 nt. 12. Per una aprossimazione all’onomastica longobarda in Toscana, N. Francovich Onesti 2000, pp. 357-374.</w:t>
      </w:r>
    </w:p>
  </w:endnote>
  <w:endnote w:id="14">
    <w:p w14:paraId="3612ADB9" w14:textId="2BF2D2E8" w:rsidR="003F11FB" w:rsidRDefault="003F11FB" w:rsidP="003F11FB">
      <w:pPr>
        <w:pStyle w:val="Textonotaalfinal"/>
      </w:pPr>
      <w:r>
        <w:rPr>
          <w:rStyle w:val="Refdenotaalfinal"/>
        </w:rPr>
        <w:endnoteRef/>
      </w:r>
      <w:r>
        <w:t xml:space="preserve"> </w:t>
      </w:r>
      <w:r>
        <w:rPr>
          <w:i/>
        </w:rPr>
        <w:t xml:space="preserve">L’oraculum </w:t>
      </w:r>
      <w:r>
        <w:t xml:space="preserve">di </w:t>
      </w:r>
      <w:r>
        <w:rPr>
          <w:i/>
        </w:rPr>
        <w:t>Sexta</w:t>
      </w:r>
      <w:r>
        <w:t xml:space="preserve"> è stato recentemente identificato con un edificio ecclesiastico sorto in un tempo indeterminato nei pressi di una gran</w:t>
      </w:r>
      <w:r w:rsidR="00666CFC">
        <w:t>de</w:t>
      </w:r>
      <w:r>
        <w:t xml:space="preserve"> villa di età alto imperia</w:t>
      </w:r>
      <w:r w:rsidR="00A92EBC">
        <w:t>le situata a Sesta (Montalcino),</w:t>
      </w:r>
      <w:r>
        <w:t xml:space="preserve"> Campan</w:t>
      </w:r>
      <w:r w:rsidR="00716DA4">
        <w:t>a –</w:t>
      </w:r>
      <w:r>
        <w:t xml:space="preserve"> Felici 2009, p. 454.</w:t>
      </w:r>
    </w:p>
  </w:endnote>
  <w:endnote w:id="15">
    <w:p w14:paraId="059F738B" w14:textId="5A1B4F0D" w:rsidR="003F11FB" w:rsidRDefault="003F11FB" w:rsidP="003F11FB">
      <w:pPr>
        <w:pStyle w:val="Textonotaalfinal"/>
        <w:rPr>
          <w:b/>
        </w:rPr>
      </w:pPr>
      <w:r>
        <w:rPr>
          <w:rStyle w:val="Refdenotaalfinal"/>
        </w:rPr>
        <w:t>a</w:t>
      </w:r>
      <w:r>
        <w:t xml:space="preserve"> Il copista di questo documento</w:t>
      </w:r>
      <w:r w:rsidR="00024D85">
        <w:t xml:space="preserve"> aggiunse questa frase al termine del testo del documento, in corrispondenza</w:t>
      </w:r>
      <w:r w:rsidR="00EC04CD">
        <w:t xml:space="preserve"> di </w:t>
      </w:r>
      <w:r w:rsidR="00EC04CD">
        <w:rPr>
          <w:i/>
        </w:rPr>
        <w:t>possideat</w:t>
      </w:r>
      <w:r w:rsidR="00EC04CD">
        <w:t>; sull’analisi paleografica della nota cfr. CDL, I, p. 9 e Bougard 2006, p. 121.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06668" w14:textId="77777777" w:rsidR="003F11FB" w:rsidRDefault="003F11FB" w:rsidP="003F11FB">
      <w:r>
        <w:separator/>
      </w:r>
    </w:p>
  </w:footnote>
  <w:footnote w:type="continuationSeparator" w:id="0">
    <w:p w14:paraId="6F4EB117" w14:textId="77777777" w:rsidR="003F11FB" w:rsidRDefault="003F11FB" w:rsidP="003F11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1FB"/>
    <w:rsid w:val="000144B0"/>
    <w:rsid w:val="00022956"/>
    <w:rsid w:val="00024D85"/>
    <w:rsid w:val="000442BD"/>
    <w:rsid w:val="00044943"/>
    <w:rsid w:val="0004643D"/>
    <w:rsid w:val="00073E43"/>
    <w:rsid w:val="00075740"/>
    <w:rsid w:val="00084859"/>
    <w:rsid w:val="000D18BC"/>
    <w:rsid w:val="000D310D"/>
    <w:rsid w:val="000E2682"/>
    <w:rsid w:val="000E58E5"/>
    <w:rsid w:val="000F2846"/>
    <w:rsid w:val="000F6191"/>
    <w:rsid w:val="00100FDE"/>
    <w:rsid w:val="0013338F"/>
    <w:rsid w:val="001403B3"/>
    <w:rsid w:val="001472ED"/>
    <w:rsid w:val="0015260D"/>
    <w:rsid w:val="00161618"/>
    <w:rsid w:val="001671AD"/>
    <w:rsid w:val="00175C32"/>
    <w:rsid w:val="001826B8"/>
    <w:rsid w:val="0019292D"/>
    <w:rsid w:val="00194F34"/>
    <w:rsid w:val="001A0BBF"/>
    <w:rsid w:val="001A32AB"/>
    <w:rsid w:val="001B085B"/>
    <w:rsid w:val="001B3071"/>
    <w:rsid w:val="001B3D6A"/>
    <w:rsid w:val="001B5C9C"/>
    <w:rsid w:val="001B7988"/>
    <w:rsid w:val="001C0CD0"/>
    <w:rsid w:val="001E2FF2"/>
    <w:rsid w:val="0020624D"/>
    <w:rsid w:val="00224B57"/>
    <w:rsid w:val="00230982"/>
    <w:rsid w:val="00234AF3"/>
    <w:rsid w:val="00247E74"/>
    <w:rsid w:val="00261CB2"/>
    <w:rsid w:val="0027659E"/>
    <w:rsid w:val="00277C2A"/>
    <w:rsid w:val="00280629"/>
    <w:rsid w:val="0029132E"/>
    <w:rsid w:val="002A04A9"/>
    <w:rsid w:val="002B19A0"/>
    <w:rsid w:val="002B1FCD"/>
    <w:rsid w:val="002B742E"/>
    <w:rsid w:val="00300ED7"/>
    <w:rsid w:val="00303B89"/>
    <w:rsid w:val="00314879"/>
    <w:rsid w:val="00330EAD"/>
    <w:rsid w:val="00340D96"/>
    <w:rsid w:val="00344F63"/>
    <w:rsid w:val="00365BA4"/>
    <w:rsid w:val="0037358E"/>
    <w:rsid w:val="003930E4"/>
    <w:rsid w:val="003B3CE4"/>
    <w:rsid w:val="003D7D18"/>
    <w:rsid w:val="003E4455"/>
    <w:rsid w:val="003F11FB"/>
    <w:rsid w:val="00401186"/>
    <w:rsid w:val="0040779E"/>
    <w:rsid w:val="00414C0C"/>
    <w:rsid w:val="00427965"/>
    <w:rsid w:val="0044441C"/>
    <w:rsid w:val="00446537"/>
    <w:rsid w:val="004522DD"/>
    <w:rsid w:val="00456556"/>
    <w:rsid w:val="00480190"/>
    <w:rsid w:val="0049635B"/>
    <w:rsid w:val="004C379B"/>
    <w:rsid w:val="004C4AB1"/>
    <w:rsid w:val="004E08CD"/>
    <w:rsid w:val="004F0B6D"/>
    <w:rsid w:val="00503B51"/>
    <w:rsid w:val="005141E3"/>
    <w:rsid w:val="005154D3"/>
    <w:rsid w:val="00547F42"/>
    <w:rsid w:val="00570F39"/>
    <w:rsid w:val="00574D86"/>
    <w:rsid w:val="005971F6"/>
    <w:rsid w:val="005D0D9E"/>
    <w:rsid w:val="005E56E2"/>
    <w:rsid w:val="005F1F7B"/>
    <w:rsid w:val="0060069F"/>
    <w:rsid w:val="0062238E"/>
    <w:rsid w:val="00642505"/>
    <w:rsid w:val="00644B7E"/>
    <w:rsid w:val="00650926"/>
    <w:rsid w:val="00651A62"/>
    <w:rsid w:val="00653635"/>
    <w:rsid w:val="00666CFC"/>
    <w:rsid w:val="006821BC"/>
    <w:rsid w:val="006971BF"/>
    <w:rsid w:val="006B21DB"/>
    <w:rsid w:val="006D7E4C"/>
    <w:rsid w:val="006F6C0E"/>
    <w:rsid w:val="00703BD8"/>
    <w:rsid w:val="007052E4"/>
    <w:rsid w:val="007156B9"/>
    <w:rsid w:val="007160D9"/>
    <w:rsid w:val="00716DA4"/>
    <w:rsid w:val="00727CB2"/>
    <w:rsid w:val="00731A8F"/>
    <w:rsid w:val="00731C83"/>
    <w:rsid w:val="0073399B"/>
    <w:rsid w:val="00746E24"/>
    <w:rsid w:val="00762B6A"/>
    <w:rsid w:val="00766D17"/>
    <w:rsid w:val="00771B08"/>
    <w:rsid w:val="007737FF"/>
    <w:rsid w:val="00791B6E"/>
    <w:rsid w:val="00792BD1"/>
    <w:rsid w:val="007C4E5F"/>
    <w:rsid w:val="007D664E"/>
    <w:rsid w:val="007F1D5E"/>
    <w:rsid w:val="008315EE"/>
    <w:rsid w:val="00833928"/>
    <w:rsid w:val="00840D92"/>
    <w:rsid w:val="008415B2"/>
    <w:rsid w:val="0085467A"/>
    <w:rsid w:val="0086054A"/>
    <w:rsid w:val="00877C08"/>
    <w:rsid w:val="0088671D"/>
    <w:rsid w:val="008A00EC"/>
    <w:rsid w:val="008A274E"/>
    <w:rsid w:val="008C1A51"/>
    <w:rsid w:val="008C1F34"/>
    <w:rsid w:val="008C398C"/>
    <w:rsid w:val="008D4EB0"/>
    <w:rsid w:val="008E0D6E"/>
    <w:rsid w:val="008F1068"/>
    <w:rsid w:val="009240C8"/>
    <w:rsid w:val="009243AE"/>
    <w:rsid w:val="00951FA9"/>
    <w:rsid w:val="00956896"/>
    <w:rsid w:val="0096487D"/>
    <w:rsid w:val="00967897"/>
    <w:rsid w:val="009A2FB0"/>
    <w:rsid w:val="009A60A3"/>
    <w:rsid w:val="009E0C2F"/>
    <w:rsid w:val="009E2F47"/>
    <w:rsid w:val="009E311A"/>
    <w:rsid w:val="009E3865"/>
    <w:rsid w:val="009F7C51"/>
    <w:rsid w:val="00A14718"/>
    <w:rsid w:val="00A14755"/>
    <w:rsid w:val="00A167E8"/>
    <w:rsid w:val="00A2452D"/>
    <w:rsid w:val="00A309A2"/>
    <w:rsid w:val="00A32CA0"/>
    <w:rsid w:val="00A52970"/>
    <w:rsid w:val="00A53FD8"/>
    <w:rsid w:val="00A57301"/>
    <w:rsid w:val="00A57595"/>
    <w:rsid w:val="00A92EBC"/>
    <w:rsid w:val="00AD4BC1"/>
    <w:rsid w:val="00AE27A5"/>
    <w:rsid w:val="00AE4B6A"/>
    <w:rsid w:val="00B1578D"/>
    <w:rsid w:val="00B30096"/>
    <w:rsid w:val="00B3346F"/>
    <w:rsid w:val="00B67475"/>
    <w:rsid w:val="00B6753C"/>
    <w:rsid w:val="00B716FA"/>
    <w:rsid w:val="00B81C76"/>
    <w:rsid w:val="00B97F7F"/>
    <w:rsid w:val="00BB185A"/>
    <w:rsid w:val="00BB2D05"/>
    <w:rsid w:val="00BC5003"/>
    <w:rsid w:val="00BC5371"/>
    <w:rsid w:val="00BC7FDA"/>
    <w:rsid w:val="00BD56A4"/>
    <w:rsid w:val="00BE2F20"/>
    <w:rsid w:val="00BF225B"/>
    <w:rsid w:val="00C03440"/>
    <w:rsid w:val="00C15340"/>
    <w:rsid w:val="00C15FCE"/>
    <w:rsid w:val="00C2628C"/>
    <w:rsid w:val="00C2771E"/>
    <w:rsid w:val="00C30626"/>
    <w:rsid w:val="00C31D58"/>
    <w:rsid w:val="00C3387C"/>
    <w:rsid w:val="00C42037"/>
    <w:rsid w:val="00C62FEA"/>
    <w:rsid w:val="00C71CBD"/>
    <w:rsid w:val="00C74A55"/>
    <w:rsid w:val="00C86D60"/>
    <w:rsid w:val="00C96D1D"/>
    <w:rsid w:val="00C97BD6"/>
    <w:rsid w:val="00CB0781"/>
    <w:rsid w:val="00CB6BAF"/>
    <w:rsid w:val="00CC57C2"/>
    <w:rsid w:val="00CD50D7"/>
    <w:rsid w:val="00CF1316"/>
    <w:rsid w:val="00D22375"/>
    <w:rsid w:val="00D234D4"/>
    <w:rsid w:val="00D30CAD"/>
    <w:rsid w:val="00D45896"/>
    <w:rsid w:val="00D52D49"/>
    <w:rsid w:val="00D52F16"/>
    <w:rsid w:val="00D80D12"/>
    <w:rsid w:val="00D96640"/>
    <w:rsid w:val="00DA1666"/>
    <w:rsid w:val="00DA4C64"/>
    <w:rsid w:val="00DA66CA"/>
    <w:rsid w:val="00DB12CD"/>
    <w:rsid w:val="00DC4189"/>
    <w:rsid w:val="00DD1271"/>
    <w:rsid w:val="00DD32D3"/>
    <w:rsid w:val="00DE2D11"/>
    <w:rsid w:val="00DF05A7"/>
    <w:rsid w:val="00E156BD"/>
    <w:rsid w:val="00E302C9"/>
    <w:rsid w:val="00E92475"/>
    <w:rsid w:val="00E96F23"/>
    <w:rsid w:val="00E97118"/>
    <w:rsid w:val="00EB47BA"/>
    <w:rsid w:val="00EC04CD"/>
    <w:rsid w:val="00EC12D6"/>
    <w:rsid w:val="00ED39BA"/>
    <w:rsid w:val="00ED701A"/>
    <w:rsid w:val="00EF0004"/>
    <w:rsid w:val="00EF1360"/>
    <w:rsid w:val="00F010DA"/>
    <w:rsid w:val="00F02743"/>
    <w:rsid w:val="00F14EBA"/>
    <w:rsid w:val="00F40FC1"/>
    <w:rsid w:val="00F6306B"/>
    <w:rsid w:val="00F652DC"/>
    <w:rsid w:val="00F863B8"/>
    <w:rsid w:val="00F91DBF"/>
    <w:rsid w:val="00F94CFB"/>
    <w:rsid w:val="00FA54DB"/>
    <w:rsid w:val="00FA5BC6"/>
    <w:rsid w:val="00FA77CD"/>
    <w:rsid w:val="00FD20F5"/>
    <w:rsid w:val="00FD560E"/>
    <w:rsid w:val="00FD602F"/>
    <w:rsid w:val="00FE05F0"/>
    <w:rsid w:val="00FE67B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670C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F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3F11FB"/>
    <w:pPr>
      <w:jc w:val="both"/>
    </w:pPr>
    <w:rPr>
      <w:rFonts w:ascii="Times New Roman" w:hAnsi="Times New Roman"/>
      <w:sz w:val="20"/>
    </w:rPr>
  </w:style>
  <w:style w:type="character" w:customStyle="1" w:styleId="TextonotaalfinalCar">
    <w:name w:val="Texto nota al final Car"/>
    <w:basedOn w:val="Fuentedeprrafopredeter"/>
    <w:link w:val="Textonotaalfinal"/>
    <w:rsid w:val="003F11FB"/>
    <w:rPr>
      <w:rFonts w:ascii="Times New Roman" w:eastAsia="Times" w:hAnsi="Times New Roman" w:cs="Times New Roman"/>
      <w:noProof/>
      <w:sz w:val="20"/>
      <w:szCs w:val="20"/>
    </w:rPr>
  </w:style>
  <w:style w:type="character" w:styleId="Refdenotaalfinal">
    <w:name w:val="endnote reference"/>
    <w:rsid w:val="003F11F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F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3F11FB"/>
    <w:pPr>
      <w:jc w:val="both"/>
    </w:pPr>
    <w:rPr>
      <w:rFonts w:ascii="Times New Roman" w:hAnsi="Times New Roman"/>
      <w:sz w:val="20"/>
    </w:rPr>
  </w:style>
  <w:style w:type="character" w:customStyle="1" w:styleId="TextonotaalfinalCar">
    <w:name w:val="Texto nota al final Car"/>
    <w:basedOn w:val="Fuentedeprrafopredeter"/>
    <w:link w:val="Textonotaalfinal"/>
    <w:rsid w:val="003F11FB"/>
    <w:rPr>
      <w:rFonts w:ascii="Times New Roman" w:eastAsia="Times" w:hAnsi="Times New Roman" w:cs="Times New Roman"/>
      <w:noProof/>
      <w:sz w:val="20"/>
      <w:szCs w:val="20"/>
    </w:rPr>
  </w:style>
  <w:style w:type="character" w:styleId="Refdenotaalfinal">
    <w:name w:val="endnote reference"/>
    <w:rsid w:val="003F11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459</Words>
  <Characters>2527</Characters>
  <Application>Microsoft Macintosh Word</Application>
  <DocSecurity>0</DocSecurity>
  <Lines>21</Lines>
  <Paragraphs>5</Paragraphs>
  <ScaleCrop>false</ScaleCrop>
  <Company>casita</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297</cp:revision>
  <dcterms:created xsi:type="dcterms:W3CDTF">2015-10-12T11:06:00Z</dcterms:created>
  <dcterms:modified xsi:type="dcterms:W3CDTF">2015-12-22T11:00:00Z</dcterms:modified>
</cp:coreProperties>
</file>