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D7CAF4" w14:textId="385DEBCF" w:rsidR="00901AB3" w:rsidRPr="00901AB3" w:rsidRDefault="00E156DF" w:rsidP="00901AB3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</w:p>
    <w:p w14:paraId="3291C5F6" w14:textId="77777777" w:rsidR="00901AB3" w:rsidRPr="00901AB3" w:rsidRDefault="00901AB3" w:rsidP="00901AB3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D64479C" w14:textId="77777777" w:rsidR="00901AB3" w:rsidRPr="00901AB3" w:rsidRDefault="00901AB3" w:rsidP="00901AB3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01AB3">
        <w:rPr>
          <w:rFonts w:ascii="Times New Roman" w:hAnsi="Times New Roman" w:cs="Times New Roman"/>
          <w:sz w:val="24"/>
          <w:szCs w:val="24"/>
        </w:rPr>
        <w:t>988 dicembre, Rosara</w:t>
      </w:r>
    </w:p>
    <w:p w14:paraId="2B1BEBF6" w14:textId="77777777" w:rsidR="00901AB3" w:rsidRPr="00901AB3" w:rsidRDefault="00901AB3" w:rsidP="00901A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938105C" w14:textId="77777777" w:rsidR="00901AB3" w:rsidRPr="00901AB3" w:rsidRDefault="00901AB3" w:rsidP="00901A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1AB3">
        <w:rPr>
          <w:rFonts w:ascii="Times New Roman" w:hAnsi="Times New Roman" w:cs="Times New Roman"/>
          <w:sz w:val="24"/>
          <w:szCs w:val="24"/>
        </w:rPr>
        <w:t>Dominicus</w:t>
      </w:r>
      <w:r>
        <w:rPr>
          <w:rFonts w:ascii="Times New Roman" w:hAnsi="Times New Roman" w:cs="Times New Roman"/>
          <w:sz w:val="24"/>
          <w:szCs w:val="24"/>
        </w:rPr>
        <w:t xml:space="preserve">, figlio del defunto </w:t>
      </w:r>
      <w:proofErr w:type="spellStart"/>
      <w:r>
        <w:rPr>
          <w:rFonts w:ascii="Times New Roman" w:hAnsi="Times New Roman" w:cs="Times New Roman"/>
          <w:sz w:val="24"/>
          <w:szCs w:val="24"/>
        </w:rPr>
        <w:t>Robertus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da Rosara, vivente a legge romana, dona per la salvezza dell’anima alla chiesa e al monastero di San Michele Arcangelo di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Brondolo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due appezzamenti di terra arativa con le pertinenze e parte di un bosco, che egli aveva acquistato da </w:t>
      </w:r>
      <w:proofErr w:type="spellStart"/>
      <w:r w:rsidR="00D20BC1">
        <w:rPr>
          <w:rFonts w:ascii="Times New Roman" w:hAnsi="Times New Roman" w:cs="Times New Roman"/>
          <w:sz w:val="24"/>
          <w:szCs w:val="24"/>
        </w:rPr>
        <w:t>Iohannes</w:t>
      </w:r>
      <w:proofErr w:type="spellEnd"/>
      <w:r w:rsidR="00D2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0BC1">
        <w:rPr>
          <w:rFonts w:ascii="Times New Roman" w:hAnsi="Times New Roman" w:cs="Times New Roman"/>
          <w:sz w:val="24"/>
          <w:szCs w:val="24"/>
        </w:rPr>
        <w:t>Patavinus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, siti nel comitato di Treviso e nel territorio della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Saccisica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, nel luogo e fondo Codevigo. </w:t>
      </w:r>
    </w:p>
    <w:p w14:paraId="26D88B04" w14:textId="77777777" w:rsidR="00901AB3" w:rsidRPr="00901AB3" w:rsidRDefault="00901AB3" w:rsidP="00901A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C59DA04" w14:textId="3DCD3149" w:rsidR="00901AB3" w:rsidRPr="00901AB3" w:rsidRDefault="00901AB3" w:rsidP="00901A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1AB3">
        <w:rPr>
          <w:rFonts w:ascii="Times New Roman" w:hAnsi="Times New Roman" w:cs="Times New Roman"/>
          <w:sz w:val="24"/>
          <w:szCs w:val="24"/>
        </w:rPr>
        <w:t>Copia autentica del XII secolo da originale in Venezia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01AB3">
        <w:rPr>
          <w:rFonts w:ascii="Times New Roman" w:hAnsi="Times New Roman" w:cs="Times New Roman"/>
          <w:sz w:val="24"/>
          <w:szCs w:val="24"/>
        </w:rPr>
        <w:t>Archivio di Stato, San Giorgio Maggiore, processo 370</w:t>
      </w:r>
      <w:r w:rsidR="00012DBD">
        <w:rPr>
          <w:rFonts w:ascii="Times New Roman" w:hAnsi="Times New Roman" w:cs="Times New Roman"/>
          <w:sz w:val="24"/>
          <w:szCs w:val="24"/>
        </w:rPr>
        <w:t xml:space="preserve"> [B]</w:t>
      </w:r>
      <w:r w:rsidRPr="00901AB3">
        <w:rPr>
          <w:rFonts w:ascii="Times New Roman" w:hAnsi="Times New Roman" w:cs="Times New Roman"/>
          <w:sz w:val="24"/>
          <w:szCs w:val="24"/>
        </w:rPr>
        <w:t>.</w:t>
      </w:r>
      <w:r w:rsidR="00D20BC1">
        <w:rPr>
          <w:rStyle w:val="Rimandonotadichiusura"/>
          <w:rFonts w:ascii="Times New Roman" w:hAnsi="Times New Roman" w:cs="Times New Roman"/>
          <w:sz w:val="24"/>
          <w:szCs w:val="24"/>
        </w:rPr>
        <w:endnoteReference w:id="1"/>
      </w:r>
    </w:p>
    <w:p w14:paraId="7E0DA2D1" w14:textId="77777777" w:rsidR="00901AB3" w:rsidRPr="00901AB3" w:rsidRDefault="00901AB3" w:rsidP="00901A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C2C242F" w14:textId="77777777" w:rsidR="00901AB3" w:rsidRPr="00901AB3" w:rsidRDefault="00901AB3" w:rsidP="00901A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1AB3">
        <w:rPr>
          <w:rFonts w:ascii="Times New Roman" w:hAnsi="Times New Roman" w:cs="Times New Roman"/>
          <w:sz w:val="24"/>
          <w:szCs w:val="24"/>
        </w:rPr>
        <w:t>CE II. 67</w:t>
      </w:r>
    </w:p>
    <w:p w14:paraId="74750D71" w14:textId="77777777" w:rsidR="00901AB3" w:rsidRPr="00901AB3" w:rsidRDefault="00901AB3" w:rsidP="00901AB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01AB3">
        <w:rPr>
          <w:rFonts w:ascii="Times New Roman" w:hAnsi="Times New Roman" w:cs="Times New Roman"/>
          <w:sz w:val="24"/>
          <w:szCs w:val="24"/>
        </w:rPr>
        <w:t>Edizione: Lanfranchi 1968.</w:t>
      </w:r>
    </w:p>
    <w:p w14:paraId="49919752" w14:textId="77777777" w:rsidR="00901AB3" w:rsidRPr="00901AB3" w:rsidRDefault="00901AB3" w:rsidP="00901A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66F496" w14:textId="77777777" w:rsidR="00901AB3" w:rsidRPr="00901AB3" w:rsidRDefault="00901AB3" w:rsidP="00901A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1AB3">
        <w:rPr>
          <w:rFonts w:ascii="Times New Roman" w:hAnsi="Times New Roman" w:cs="Times New Roman"/>
          <w:sz w:val="24"/>
          <w:szCs w:val="24"/>
        </w:rPr>
        <w:t xml:space="preserve">S.T. In nomine domini Dei eterni. Anno ab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incarnacione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domini nostri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Ihesu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Christi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nongentesimo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octogesimo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octavo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, sub die de mense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december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indicione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secunda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. Ecclesia et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monasterio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Sancti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Angeli qui est edificata in loco qui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dicitur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Brundolo</w:t>
      </w:r>
      <w:proofErr w:type="spellEnd"/>
      <w:r>
        <w:rPr>
          <w:rStyle w:val="Rimandonotadichiusura"/>
          <w:rFonts w:ascii="Times New Roman" w:hAnsi="Times New Roman" w:cs="Times New Roman"/>
          <w:sz w:val="24"/>
          <w:szCs w:val="24"/>
        </w:rPr>
        <w:endnoteReference w:id="2"/>
      </w:r>
      <w:r w:rsidRPr="00901AB3">
        <w:rPr>
          <w:rFonts w:ascii="Times New Roman" w:hAnsi="Times New Roman" w:cs="Times New Roman"/>
          <w:sz w:val="24"/>
          <w:szCs w:val="24"/>
        </w:rPr>
        <w:t xml:space="preserve"> ego Dominico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filius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quonda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Roberto,</w:t>
      </w:r>
      <w:r w:rsidR="003C0BF0">
        <w:rPr>
          <w:rStyle w:val="Rimandonotadichiusura"/>
          <w:rFonts w:ascii="Times New Roman" w:hAnsi="Times New Roman" w:cs="Times New Roman"/>
          <w:sz w:val="24"/>
          <w:szCs w:val="24"/>
        </w:rPr>
        <w:endnoteReference w:id="3"/>
      </w:r>
      <w:r w:rsidRPr="00901AB3">
        <w:rPr>
          <w:rFonts w:ascii="Times New Roman" w:hAnsi="Times New Roman" w:cs="Times New Roman"/>
          <w:sz w:val="24"/>
          <w:szCs w:val="24"/>
        </w:rPr>
        <w:t xml:space="preserve"> qui est ha</w:t>
      </w:r>
      <w:r w:rsidRPr="00901AB3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"/>
      </w:r>
      <w:r w:rsidRPr="00901AB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vicco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Rosaria</w:t>
      </w:r>
      <w:r w:rsidRPr="00901AB3">
        <w:rPr>
          <w:rStyle w:val="Rimandonotadichiusura"/>
          <w:rFonts w:ascii="Times New Roman" w:hAnsi="Times New Roman" w:cs="Times New Roman"/>
          <w:sz w:val="24"/>
          <w:szCs w:val="24"/>
        </w:rPr>
        <w:endnoteReference w:id="4"/>
      </w:r>
      <w:r w:rsidRPr="00901AB3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professus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sum ex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nacione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mea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vivere Romana, donator et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offertor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ipsius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ecclesie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seu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monasterii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presens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presentibus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dixi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Quisquis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sanctis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ac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venerabilibus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locis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ex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suis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aliquid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contulerit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rebus,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iuxta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Auctoris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vocem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in hoc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seculo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centuplum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accipiet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insuper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melius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est,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vitam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possidebit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eternam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. Ita in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eadem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ecclesia et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monasterio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Sancti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Angeli dono et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offero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pro anima mea mercede, id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pecie due de terra aratoria et in parte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silva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iacent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comitatu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Tervisionense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et in fine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Sacissica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, in loco et fundo Caput de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Vicco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>,</w:t>
      </w:r>
      <w:r w:rsidRPr="00901AB3">
        <w:rPr>
          <w:rStyle w:val="Rimandonotadichiusura"/>
          <w:rFonts w:ascii="Times New Roman" w:hAnsi="Times New Roman" w:cs="Times New Roman"/>
          <w:sz w:val="24"/>
          <w:szCs w:val="24"/>
        </w:rPr>
        <w:endnoteReference w:id="5"/>
      </w:r>
      <w:r w:rsidRPr="00901AB3">
        <w:rPr>
          <w:rFonts w:ascii="Times New Roman" w:hAnsi="Times New Roman" w:cs="Times New Roman"/>
          <w:sz w:val="24"/>
          <w:szCs w:val="24"/>
        </w:rPr>
        <w:t xml:space="preserve"> qui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michi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advenit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unam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cartulam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vendicionis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et pro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accepto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pretio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Iohanne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qui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dicitur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Patavino. Et est prima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petia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de terra aratoria per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mensura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iuxta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longo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de uno latere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perticas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XX et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octo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et de alio latere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perticas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XX et II. et ex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transverso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de uno capite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perticas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tredecim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et de alio capite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undecim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. Qui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cernet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fines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de uno latere et uno capite fossa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aiacente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quidem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alio latere Martino qui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dicitur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Zorzani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habet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et in parte de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infrascripta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ipsa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terra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aiacente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et de alio capite via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percurrente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Secunda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petia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de terra aratoria ibidem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prope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est et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habet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longo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perticas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IIIIor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. et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pedes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sex et per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transverso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de uno capite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perticas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sex et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pedes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IIIIor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. et de alio capite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perticas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quatuor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Coheret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ei de uno latere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infrascripto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Martino qui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dicitur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Zorzani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et de alio latere via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percurrente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quidem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uno capite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infrascripta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terra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quas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hic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supra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legitur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aiacente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et de alio capite fossa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percurrente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, si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ibique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alii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coherentes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autem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infrascripte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due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petie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de terra et in parte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silva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eodem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loco et fundo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superius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dictas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, una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accessione et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ingreso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seu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superioribus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inferioribus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suis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qua</w:t>
      </w:r>
      <w:r w:rsidRPr="00901AB3">
        <w:rPr>
          <w:rFonts w:ascii="Times New Roman" w:hAnsi="Times New Roman" w:cs="Times New Roman"/>
          <w:sz w:val="24"/>
          <w:szCs w:val="24"/>
        </w:rPr>
        <w:softHyphen/>
        <w:t>liter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superius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legitur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integrum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, ab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hac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die in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edem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ecclesia et in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eodem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monasterio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Sancti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Angeli dono et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offero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et per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presentem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cartulam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offersionis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ibidem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habendum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confirmo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faciendum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exinde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pars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ipsius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monasterii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seu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ille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abbas et sui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successores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seu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monachi qui ibidem ordinati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fuerint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et Deo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deservierint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eorum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usum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sumptum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quicquid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voluerint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iure proprietario nomine, sine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omni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mea et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heredum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meorum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contradicione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, pro anima mea mercede. Et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nec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michi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liceat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ullo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tempore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nolle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volui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sed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a me semel factum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conscriptum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est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inviolabiter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conservare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promitto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stipulacione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subnixa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Hanc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enim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cartulam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offersionis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Iohannes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notarius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tradidit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scribere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rogavi, in qua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subter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confirmans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testibus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optuli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roborandam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Actum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in villa Rosaria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feliciter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manibus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Bono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Castaldio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et Dominico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filius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Auristilla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viventes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Romana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testes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manibus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Iohannis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Cremani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et Petro Decano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testes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. S. T. Ego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Iohannes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notarius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scriptor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huius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cartule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offersionis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post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traditam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complevi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dedi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. S. T.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Nam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et ego Adam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notarius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causidicus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hoc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exemplum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ex autentico renovavi ne causa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vetustatis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consumeretur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inibi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vidi et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legi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scripsi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nec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auxi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nec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4"/>
          <w:szCs w:val="24"/>
        </w:rPr>
        <w:t>minui</w:t>
      </w:r>
      <w:proofErr w:type="spellEnd"/>
      <w:r w:rsidRPr="00901AB3">
        <w:rPr>
          <w:rFonts w:ascii="Times New Roman" w:hAnsi="Times New Roman" w:cs="Times New Roman"/>
          <w:sz w:val="24"/>
          <w:szCs w:val="24"/>
        </w:rPr>
        <w:t>.</w:t>
      </w:r>
    </w:p>
    <w:p w14:paraId="15C2097E" w14:textId="77777777" w:rsidR="008D0F56" w:rsidRPr="00901AB3" w:rsidRDefault="008D0F56" w:rsidP="00901A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FF2E8EF" w14:textId="77777777" w:rsidR="00901AB3" w:rsidRPr="00901AB3" w:rsidRDefault="00901AB3" w:rsidP="00901A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1AB3">
        <w:rPr>
          <w:rFonts w:ascii="Times New Roman" w:hAnsi="Times New Roman" w:cs="Times New Roman"/>
          <w:sz w:val="24"/>
          <w:szCs w:val="24"/>
        </w:rPr>
        <w:lastRenderedPageBreak/>
        <w:t>NOTE STORICHE</w:t>
      </w:r>
    </w:p>
    <w:sectPr w:rsidR="00901AB3" w:rsidRPr="00901AB3" w:rsidSect="005C6C6F">
      <w:footnotePr>
        <w:numFmt w:val="lowerLetter"/>
      </w:footnotePr>
      <w:endnotePr>
        <w:numFmt w:val="decimal"/>
      </w:endnotePr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423BEB" w14:textId="77777777" w:rsidR="00F05E54" w:rsidRDefault="00F05E54" w:rsidP="00901AB3">
      <w:pPr>
        <w:spacing w:after="0" w:line="240" w:lineRule="auto"/>
      </w:pPr>
      <w:r>
        <w:separator/>
      </w:r>
    </w:p>
  </w:endnote>
  <w:endnote w:type="continuationSeparator" w:id="0">
    <w:p w14:paraId="32363996" w14:textId="77777777" w:rsidR="00F05E54" w:rsidRDefault="00F05E54" w:rsidP="00901AB3">
      <w:pPr>
        <w:spacing w:after="0" w:line="240" w:lineRule="auto"/>
      </w:pPr>
      <w:r>
        <w:continuationSeparator/>
      </w:r>
    </w:p>
  </w:endnote>
  <w:endnote w:id="1">
    <w:p w14:paraId="66FBDA0E" w14:textId="1254388F" w:rsidR="00F05E54" w:rsidRPr="003A0DF1" w:rsidRDefault="00F05E54" w:rsidP="003C0BF0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3A0DF1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="00CF46DD">
        <w:rPr>
          <w:rFonts w:ascii="Times New Roman" w:hAnsi="Times New Roman" w:cs="Times New Roman"/>
          <w:sz w:val="20"/>
          <w:szCs w:val="20"/>
        </w:rPr>
        <w:t xml:space="preserve"> Si noti che la pergamena è conservata</w:t>
      </w:r>
      <w:r w:rsidRPr="003A0DF1">
        <w:rPr>
          <w:rFonts w:ascii="Times New Roman" w:hAnsi="Times New Roman" w:cs="Times New Roman"/>
          <w:sz w:val="20"/>
          <w:szCs w:val="20"/>
        </w:rPr>
        <w:t xml:space="preserve"> nell’archivio del monastero di San Giorgio in qualità di titolo giustificativo, per acquisti effettuati dall’ente ecclesiastico in un periodo posteriore alla data del documento stesso. </w:t>
      </w:r>
    </w:p>
  </w:endnote>
  <w:endnote w:id="2">
    <w:p w14:paraId="66E93F86" w14:textId="1C7880AD" w:rsidR="00F05E54" w:rsidRPr="003A0DF1" w:rsidRDefault="00F05E54" w:rsidP="003C0BF0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3A0DF1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3A0DF1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r w:rsidRPr="003A0DF1">
        <w:rPr>
          <w:rFonts w:ascii="Times New Roman" w:hAnsi="Times New Roman" w:cs="Times New Roman"/>
          <w:sz w:val="20"/>
          <w:szCs w:val="20"/>
        </w:rPr>
        <w:t xml:space="preserve">Sul monastero di San Michele Arcangelo di </w:t>
      </w:r>
      <w:proofErr w:type="spellStart"/>
      <w:r w:rsidRPr="003A0DF1">
        <w:rPr>
          <w:rFonts w:ascii="Times New Roman" w:hAnsi="Times New Roman" w:cs="Times New Roman"/>
          <w:sz w:val="20"/>
          <w:szCs w:val="20"/>
        </w:rPr>
        <w:t>Brondolo</w:t>
      </w:r>
      <w:proofErr w:type="spellEnd"/>
      <w:r w:rsidRPr="003A0DF1">
        <w:rPr>
          <w:rFonts w:ascii="Times New Roman" w:hAnsi="Times New Roman" w:cs="Times New Roman"/>
          <w:sz w:val="20"/>
          <w:szCs w:val="20"/>
        </w:rPr>
        <w:t xml:space="preserve"> si veda documento </w:t>
      </w:r>
      <w:r w:rsidRPr="003A0DF1">
        <w:rPr>
          <w:rFonts w:ascii="Times New Roman" w:hAnsi="Times New Roman" w:cs="Times New Roman"/>
          <w:sz w:val="20"/>
          <w:szCs w:val="20"/>
          <w:u w:val="single"/>
        </w:rPr>
        <w:t>Venezia 1</w:t>
      </w:r>
      <w:r w:rsidR="009C6477">
        <w:rPr>
          <w:rFonts w:ascii="Times New Roman" w:hAnsi="Times New Roman" w:cs="Times New Roman"/>
          <w:sz w:val="20"/>
          <w:szCs w:val="20"/>
        </w:rPr>
        <w:t xml:space="preserve"> e nota 4</w:t>
      </w:r>
      <w:r w:rsidRPr="003A0DF1">
        <w:rPr>
          <w:rFonts w:ascii="Times New Roman" w:hAnsi="Times New Roman" w:cs="Times New Roman"/>
          <w:sz w:val="20"/>
          <w:szCs w:val="20"/>
        </w:rPr>
        <w:t>.</w:t>
      </w:r>
      <w:bookmarkEnd w:id="0"/>
    </w:p>
  </w:endnote>
  <w:endnote w:id="3">
    <w:p w14:paraId="1D36DBDC" w14:textId="63FA7893" w:rsidR="00F05E54" w:rsidRPr="003A0DF1" w:rsidRDefault="00F05E54" w:rsidP="003C0BF0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3A0DF1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3A0DF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Si noti che Giovanni Patavino </w:t>
      </w:r>
      <w:r w:rsidR="00EA17A5">
        <w:rPr>
          <w:rFonts w:ascii="Times New Roman" w:hAnsi="Times New Roman" w:cs="Times New Roman"/>
          <w:sz w:val="20"/>
          <w:szCs w:val="20"/>
        </w:rPr>
        <w:t xml:space="preserve">non è un esponente della élite del regno. Gli enti monastici veneziani </w:t>
      </w:r>
      <w:r w:rsidR="00012DBD">
        <w:rPr>
          <w:rFonts w:ascii="Times New Roman" w:hAnsi="Times New Roman" w:cs="Times New Roman"/>
          <w:sz w:val="20"/>
          <w:szCs w:val="20"/>
        </w:rPr>
        <w:t>attirarono fin da epoca antica</w:t>
      </w:r>
      <w:r w:rsidR="00EA17A5">
        <w:rPr>
          <w:rFonts w:ascii="Times New Roman" w:hAnsi="Times New Roman" w:cs="Times New Roman"/>
          <w:sz w:val="20"/>
          <w:szCs w:val="20"/>
        </w:rPr>
        <w:t xml:space="preserve"> la devozione anche di individui di media ricchezza ed estrazione sociale. Si veda infatti documento </w:t>
      </w:r>
      <w:r w:rsidR="00EA17A5">
        <w:rPr>
          <w:rFonts w:ascii="Times New Roman" w:hAnsi="Times New Roman" w:cs="Times New Roman"/>
          <w:sz w:val="20"/>
          <w:szCs w:val="20"/>
          <w:u w:val="single"/>
        </w:rPr>
        <w:t>Venezia 3</w:t>
      </w:r>
      <w:r w:rsidR="00251E82">
        <w:rPr>
          <w:rFonts w:ascii="Times New Roman" w:hAnsi="Times New Roman" w:cs="Times New Roman"/>
          <w:sz w:val="20"/>
          <w:szCs w:val="20"/>
          <w:u w:val="single"/>
        </w:rPr>
        <w:t>3</w:t>
      </w:r>
      <w:r w:rsidR="00EA17A5">
        <w:rPr>
          <w:rFonts w:ascii="Times New Roman" w:hAnsi="Times New Roman" w:cs="Times New Roman"/>
          <w:sz w:val="20"/>
          <w:szCs w:val="20"/>
        </w:rPr>
        <w:t xml:space="preserve">. Sui rapporti patrimoniali degli enti monastici veneziani con l’aristocrazia regnicola e non si vedano invece i documenti </w:t>
      </w:r>
      <w:r w:rsidRPr="00CF46DD">
        <w:rPr>
          <w:rFonts w:ascii="Times New Roman" w:hAnsi="Times New Roman" w:cs="Times New Roman"/>
          <w:sz w:val="20"/>
          <w:szCs w:val="20"/>
          <w:u w:val="single"/>
        </w:rPr>
        <w:t xml:space="preserve">Venezia </w:t>
      </w:r>
      <w:r w:rsidR="00CF46DD" w:rsidRPr="00CF46DD">
        <w:rPr>
          <w:rFonts w:ascii="Times New Roman" w:hAnsi="Times New Roman" w:cs="Times New Roman"/>
          <w:sz w:val="20"/>
          <w:szCs w:val="20"/>
          <w:u w:val="single"/>
        </w:rPr>
        <w:t>1, 8, 9,</w:t>
      </w:r>
      <w:r w:rsidR="00CF46DD">
        <w:rPr>
          <w:rFonts w:ascii="Times New Roman" w:hAnsi="Times New Roman" w:cs="Times New Roman"/>
          <w:sz w:val="20"/>
          <w:szCs w:val="20"/>
        </w:rPr>
        <w:t xml:space="preserve"> </w:t>
      </w:r>
      <w:r w:rsidR="00CF46DD" w:rsidRPr="00CF46DD">
        <w:rPr>
          <w:rFonts w:ascii="Times New Roman" w:hAnsi="Times New Roman" w:cs="Times New Roman"/>
          <w:sz w:val="20"/>
          <w:szCs w:val="20"/>
          <w:u w:val="single"/>
        </w:rPr>
        <w:t>15</w:t>
      </w:r>
      <w:r w:rsidR="00CF46DD">
        <w:rPr>
          <w:rFonts w:ascii="Times New Roman" w:hAnsi="Times New Roman" w:cs="Times New Roman"/>
          <w:sz w:val="20"/>
          <w:szCs w:val="20"/>
        </w:rPr>
        <w:t xml:space="preserve"> e </w:t>
      </w:r>
      <w:r w:rsidR="00CF46DD" w:rsidRPr="00CF46DD">
        <w:rPr>
          <w:rFonts w:ascii="Times New Roman" w:hAnsi="Times New Roman" w:cs="Times New Roman"/>
          <w:sz w:val="20"/>
          <w:szCs w:val="20"/>
          <w:u w:val="single"/>
        </w:rPr>
        <w:t>16</w:t>
      </w:r>
      <w:r w:rsidRPr="00CF46DD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CF46DD">
        <w:rPr>
          <w:rFonts w:ascii="Times New Roman" w:hAnsi="Times New Roman" w:cs="Times New Roman"/>
          <w:sz w:val="20"/>
          <w:szCs w:val="20"/>
          <w:u w:val="single"/>
        </w:rPr>
        <w:t xml:space="preserve">. </w:t>
      </w:r>
      <w:r w:rsidR="004F7B76">
        <w:rPr>
          <w:rFonts w:ascii="Times New Roman" w:hAnsi="Times New Roman" w:cs="Times New Roman"/>
          <w:sz w:val="20"/>
          <w:szCs w:val="20"/>
        </w:rPr>
        <w:t xml:space="preserve">Per un quadro d’insieme sui rapporti tra Venezia e la terraferma si rimanda a </w:t>
      </w:r>
      <w:r w:rsidR="009678B8">
        <w:rPr>
          <w:rFonts w:ascii="Times New Roman" w:hAnsi="Times New Roman" w:cs="Times New Roman"/>
          <w:smallCaps/>
          <w:sz w:val="20"/>
          <w:szCs w:val="20"/>
        </w:rPr>
        <w:t xml:space="preserve">West </w:t>
      </w:r>
      <w:proofErr w:type="spellStart"/>
      <w:r w:rsidR="004F7B76" w:rsidRPr="00F05E54">
        <w:rPr>
          <w:rFonts w:ascii="Times New Roman" w:hAnsi="Times New Roman" w:cs="Times New Roman"/>
          <w:smallCaps/>
          <w:sz w:val="20"/>
          <w:szCs w:val="20"/>
        </w:rPr>
        <w:t>Harling</w:t>
      </w:r>
      <w:proofErr w:type="spellEnd"/>
      <w:r w:rsidR="004F7B76">
        <w:rPr>
          <w:rFonts w:ascii="Times New Roman" w:hAnsi="Times New Roman" w:cs="Times New Roman"/>
          <w:sz w:val="20"/>
          <w:szCs w:val="20"/>
        </w:rPr>
        <w:t xml:space="preserve"> 2013, pp. 249-252.</w:t>
      </w:r>
    </w:p>
  </w:endnote>
  <w:endnote w:id="4">
    <w:p w14:paraId="5C9D5B24" w14:textId="77777777" w:rsidR="00F05E54" w:rsidRPr="003A0DF1" w:rsidRDefault="00F05E54" w:rsidP="003C0BF0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3A0DF1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3A0DF1">
        <w:rPr>
          <w:rFonts w:ascii="Times New Roman" w:hAnsi="Times New Roman" w:cs="Times New Roman"/>
          <w:sz w:val="20"/>
          <w:szCs w:val="20"/>
        </w:rPr>
        <w:t xml:space="preserve"> Località identificabile con l’attuale Rosara, frazione del comune di Codevigo in provincia di Padova. </w:t>
      </w:r>
    </w:p>
  </w:endnote>
  <w:endnote w:id="5">
    <w:p w14:paraId="1BBE5437" w14:textId="77777777" w:rsidR="00F05E54" w:rsidRPr="00EF3496" w:rsidRDefault="00F05E54" w:rsidP="003C0BF0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3A0DF1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3A0DF1">
        <w:rPr>
          <w:rFonts w:ascii="Times New Roman" w:hAnsi="Times New Roman" w:cs="Times New Roman"/>
          <w:sz w:val="20"/>
          <w:szCs w:val="20"/>
        </w:rPr>
        <w:t xml:space="preserve"> Località identificabile con l’attuale comune di Codevigo in provincia di Padova. Si noti che la </w:t>
      </w:r>
      <w:proofErr w:type="spellStart"/>
      <w:r w:rsidRPr="003A0DF1">
        <w:rPr>
          <w:rFonts w:ascii="Times New Roman" w:hAnsi="Times New Roman" w:cs="Times New Roman"/>
          <w:sz w:val="20"/>
          <w:szCs w:val="20"/>
        </w:rPr>
        <w:t>Saccisica</w:t>
      </w:r>
      <w:proofErr w:type="spellEnd"/>
      <w:r w:rsidRPr="003A0DF1">
        <w:rPr>
          <w:rFonts w:ascii="Times New Roman" w:hAnsi="Times New Roman" w:cs="Times New Roman"/>
          <w:sz w:val="20"/>
          <w:szCs w:val="20"/>
        </w:rPr>
        <w:t xml:space="preserve"> era allora collocata nel territorio di Treviso.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DF0193" w14:textId="77777777" w:rsidR="00F05E54" w:rsidRDefault="00F05E54" w:rsidP="00901AB3">
      <w:pPr>
        <w:spacing w:after="0" w:line="240" w:lineRule="auto"/>
      </w:pPr>
      <w:r>
        <w:separator/>
      </w:r>
    </w:p>
  </w:footnote>
  <w:footnote w:type="continuationSeparator" w:id="0">
    <w:p w14:paraId="099AE699" w14:textId="77777777" w:rsidR="00F05E54" w:rsidRDefault="00F05E54" w:rsidP="00901AB3">
      <w:pPr>
        <w:spacing w:after="0" w:line="240" w:lineRule="auto"/>
      </w:pPr>
      <w:r>
        <w:continuationSeparator/>
      </w:r>
    </w:p>
  </w:footnote>
  <w:footnote w:id="1">
    <w:p w14:paraId="05B9B44B" w14:textId="5A6A45CD" w:rsidR="00F05E54" w:rsidRPr="00385CD9" w:rsidRDefault="00F05E54" w:rsidP="00901AB3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385CD9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385CD9">
        <w:rPr>
          <w:rFonts w:ascii="Times New Roman" w:hAnsi="Times New Roman" w:cs="Times New Roman"/>
          <w:sz w:val="20"/>
          <w:szCs w:val="20"/>
        </w:rPr>
        <w:t xml:space="preserve"> </w:t>
      </w:r>
      <w:r w:rsidR="005B722D">
        <w:rPr>
          <w:rFonts w:ascii="Times New Roman" w:hAnsi="Times New Roman" w:cs="Times New Roman"/>
          <w:i/>
          <w:sz w:val="20"/>
          <w:szCs w:val="20"/>
        </w:rPr>
        <w:t>s</w:t>
      </w:r>
      <w:r w:rsidRPr="00963927">
        <w:rPr>
          <w:rFonts w:ascii="Times New Roman" w:hAnsi="Times New Roman" w:cs="Times New Roman"/>
          <w:i/>
          <w:sz w:val="20"/>
          <w:szCs w:val="20"/>
        </w:rPr>
        <w:t>ic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5B722D">
        <w:rPr>
          <w:rFonts w:ascii="Times New Roman" w:hAnsi="Times New Roman" w:cs="Times New Roman"/>
          <w:i/>
          <w:sz w:val="20"/>
          <w:szCs w:val="20"/>
        </w:rPr>
        <w:t>s</w:t>
      </w:r>
      <w:r w:rsidRPr="00901AB3">
        <w:rPr>
          <w:rFonts w:ascii="Times New Roman" w:hAnsi="Times New Roman" w:cs="Times New Roman"/>
          <w:i/>
          <w:sz w:val="20"/>
          <w:szCs w:val="20"/>
        </w:rPr>
        <w:t>i legga</w:t>
      </w:r>
      <w:r w:rsidRPr="00385CD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1AB3">
        <w:rPr>
          <w:rFonts w:ascii="Times New Roman" w:hAnsi="Times New Roman" w:cs="Times New Roman"/>
          <w:sz w:val="20"/>
          <w:szCs w:val="20"/>
        </w:rPr>
        <w:t>habitator</w:t>
      </w:r>
      <w:proofErr w:type="spellEnd"/>
      <w:r w:rsidRPr="00385CD9">
        <w:rPr>
          <w:rFonts w:ascii="Times New Roman" w:hAnsi="Times New Roman" w:cs="Times New Roman"/>
          <w:sz w:val="20"/>
          <w:szCs w:val="20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savePreviewPicture/>
  <w:footnotePr>
    <w:numFmt w:val="lowerLetter"/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AB3"/>
    <w:rsid w:val="00012DBD"/>
    <w:rsid w:val="0022333B"/>
    <w:rsid w:val="00251E82"/>
    <w:rsid w:val="003A0DF1"/>
    <w:rsid w:val="003C0BF0"/>
    <w:rsid w:val="004F7B76"/>
    <w:rsid w:val="005B722D"/>
    <w:rsid w:val="005C6C6F"/>
    <w:rsid w:val="008D0F56"/>
    <w:rsid w:val="00901AB3"/>
    <w:rsid w:val="009678B8"/>
    <w:rsid w:val="009C6477"/>
    <w:rsid w:val="00CF46DD"/>
    <w:rsid w:val="00D20BC1"/>
    <w:rsid w:val="00E156DF"/>
    <w:rsid w:val="00EA17A5"/>
    <w:rsid w:val="00F0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F7FAA4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1AB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901AB3"/>
    <w:pPr>
      <w:spacing w:after="0" w:line="240" w:lineRule="auto"/>
    </w:pPr>
    <w:rPr>
      <w:sz w:val="24"/>
      <w:szCs w:val="24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901AB3"/>
    <w:rPr>
      <w:rFonts w:eastAsiaTheme="minorHAnsi"/>
      <w:lang w:eastAsia="en-US"/>
    </w:rPr>
  </w:style>
  <w:style w:type="character" w:styleId="Rimandonotaapidipagina">
    <w:name w:val="footnote reference"/>
    <w:basedOn w:val="Caratterepredefinitoparagrafo"/>
    <w:uiPriority w:val="99"/>
    <w:unhideWhenUsed/>
    <w:rsid w:val="00901AB3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901AB3"/>
    <w:pPr>
      <w:spacing w:after="0" w:line="240" w:lineRule="auto"/>
    </w:pPr>
    <w:rPr>
      <w:sz w:val="24"/>
      <w:szCs w:val="24"/>
    </w:rPr>
  </w:style>
  <w:style w:type="character" w:customStyle="1" w:styleId="TestonotadichiusuraCarattere">
    <w:name w:val="Testo nota di chiusura Carattere"/>
    <w:basedOn w:val="Caratterepredefinitoparagrafo"/>
    <w:link w:val="Testonotadichiusura"/>
    <w:uiPriority w:val="99"/>
    <w:rsid w:val="00901AB3"/>
    <w:rPr>
      <w:rFonts w:eastAsiaTheme="minorHAnsi"/>
      <w:lang w:eastAsia="en-US"/>
    </w:rPr>
  </w:style>
  <w:style w:type="character" w:styleId="Rimandonotadichiusura">
    <w:name w:val="endnote reference"/>
    <w:basedOn w:val="Caratterepredefinitoparagrafo"/>
    <w:uiPriority w:val="99"/>
    <w:unhideWhenUsed/>
    <w:rsid w:val="00901AB3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1AB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901AB3"/>
    <w:pPr>
      <w:spacing w:after="0" w:line="240" w:lineRule="auto"/>
    </w:pPr>
    <w:rPr>
      <w:sz w:val="24"/>
      <w:szCs w:val="24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901AB3"/>
    <w:rPr>
      <w:rFonts w:eastAsiaTheme="minorHAnsi"/>
      <w:lang w:eastAsia="en-US"/>
    </w:rPr>
  </w:style>
  <w:style w:type="character" w:styleId="Rimandonotaapidipagina">
    <w:name w:val="footnote reference"/>
    <w:basedOn w:val="Caratterepredefinitoparagrafo"/>
    <w:uiPriority w:val="99"/>
    <w:unhideWhenUsed/>
    <w:rsid w:val="00901AB3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901AB3"/>
    <w:pPr>
      <w:spacing w:after="0" w:line="240" w:lineRule="auto"/>
    </w:pPr>
    <w:rPr>
      <w:sz w:val="24"/>
      <w:szCs w:val="24"/>
    </w:rPr>
  </w:style>
  <w:style w:type="character" w:customStyle="1" w:styleId="TestonotadichiusuraCarattere">
    <w:name w:val="Testo nota di chiusura Carattere"/>
    <w:basedOn w:val="Caratterepredefinitoparagrafo"/>
    <w:link w:val="Testonotadichiusura"/>
    <w:uiPriority w:val="99"/>
    <w:rsid w:val="00901AB3"/>
    <w:rPr>
      <w:rFonts w:eastAsiaTheme="minorHAnsi"/>
      <w:lang w:eastAsia="en-US"/>
    </w:rPr>
  </w:style>
  <w:style w:type="character" w:styleId="Rimandonotadichiusura">
    <w:name w:val="endnote reference"/>
    <w:basedOn w:val="Caratterepredefinitoparagrafo"/>
    <w:uiPriority w:val="99"/>
    <w:unhideWhenUsed/>
    <w:rsid w:val="00901A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561</Words>
  <Characters>3198</Characters>
  <Application>Microsoft Macintosh Word</Application>
  <DocSecurity>0</DocSecurity>
  <Lines>26</Lines>
  <Paragraphs>7</Paragraphs>
  <ScaleCrop>false</ScaleCrop>
  <Company>Università di Padova</Company>
  <LinksUpToDate>false</LinksUpToDate>
  <CharactersWithSpaces>3752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Pazienza</dc:creator>
  <cp:keywords/>
  <dc:description/>
  <cp:lastModifiedBy>Annamaria Pazienza</cp:lastModifiedBy>
  <cp:revision>10</cp:revision>
  <dcterms:created xsi:type="dcterms:W3CDTF">2014-11-13T15:40:00Z</dcterms:created>
  <dcterms:modified xsi:type="dcterms:W3CDTF">2015-01-27T17:04:00Z</dcterms:modified>
</cp:coreProperties>
</file>