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DD871" w14:textId="77777777" w:rsidR="00C90D1B" w:rsidRDefault="00C90D1B" w:rsidP="00C90D1B">
      <w:pPr>
        <w:spacing w:line="240" w:lineRule="auto"/>
        <w:contextualSpacing/>
        <w:jc w:val="center"/>
        <w:rPr>
          <w:rFonts w:ascii="Times New Roman" w:hAnsi="Times New Roman" w:cs="Times New Roman"/>
          <w:sz w:val="24"/>
          <w:szCs w:val="24"/>
        </w:rPr>
      </w:pPr>
      <w:r w:rsidRPr="00C90D1B">
        <w:rPr>
          <w:rFonts w:ascii="Times New Roman" w:hAnsi="Times New Roman" w:cs="Times New Roman"/>
          <w:sz w:val="24"/>
          <w:szCs w:val="24"/>
        </w:rPr>
        <w:t>17</w:t>
      </w:r>
    </w:p>
    <w:p w14:paraId="1D556828" w14:textId="77777777" w:rsidR="00D25357" w:rsidRPr="00C90D1B" w:rsidRDefault="00D25357" w:rsidP="00C90D1B">
      <w:pPr>
        <w:spacing w:line="240" w:lineRule="auto"/>
        <w:contextualSpacing/>
        <w:jc w:val="center"/>
        <w:rPr>
          <w:rFonts w:ascii="Times New Roman" w:hAnsi="Times New Roman" w:cs="Times New Roman"/>
          <w:sz w:val="24"/>
          <w:szCs w:val="24"/>
        </w:rPr>
      </w:pPr>
    </w:p>
    <w:p w14:paraId="708978CE" w14:textId="77777777" w:rsidR="00C90D1B" w:rsidRPr="00C90D1B" w:rsidRDefault="00C90D1B" w:rsidP="00C90D1B">
      <w:pPr>
        <w:spacing w:line="240" w:lineRule="auto"/>
        <w:contextualSpacing/>
        <w:jc w:val="center"/>
        <w:rPr>
          <w:rFonts w:ascii="Times New Roman" w:hAnsi="Times New Roman" w:cs="Times New Roman"/>
          <w:sz w:val="24"/>
          <w:szCs w:val="24"/>
        </w:rPr>
      </w:pPr>
      <w:r w:rsidRPr="00C90D1B">
        <w:rPr>
          <w:rFonts w:ascii="Times New Roman" w:hAnsi="Times New Roman" w:cs="Times New Roman"/>
          <w:sz w:val="24"/>
          <w:szCs w:val="24"/>
        </w:rPr>
        <w:t>958 marzo, Rialto</w:t>
      </w:r>
    </w:p>
    <w:p w14:paraId="64EC7277" w14:textId="77777777" w:rsidR="00C90D1B" w:rsidRDefault="00C90D1B" w:rsidP="00C90D1B">
      <w:pPr>
        <w:spacing w:line="240" w:lineRule="auto"/>
        <w:contextualSpacing/>
        <w:jc w:val="both"/>
        <w:rPr>
          <w:rFonts w:ascii="Times New Roman" w:hAnsi="Times New Roman" w:cs="Times New Roman"/>
          <w:sz w:val="24"/>
          <w:szCs w:val="24"/>
        </w:rPr>
      </w:pPr>
    </w:p>
    <w:p w14:paraId="5DF03458" w14:textId="15D16AD7" w:rsidR="00D25357" w:rsidRDefault="00D25357" w:rsidP="00C90D1B">
      <w:pPr>
        <w:spacing w:line="240" w:lineRule="auto"/>
        <w:contextualSpacing/>
        <w:jc w:val="both"/>
        <w:rPr>
          <w:rFonts w:ascii="Times New Roman" w:hAnsi="Times New Roman" w:cs="Times New Roman"/>
          <w:sz w:val="24"/>
          <w:szCs w:val="24"/>
        </w:rPr>
      </w:pPr>
      <w:r w:rsidRPr="00C90D1B">
        <w:rPr>
          <w:rFonts w:ascii="Times New Roman" w:hAnsi="Times New Roman" w:cs="Times New Roman"/>
          <w:sz w:val="24"/>
          <w:szCs w:val="24"/>
        </w:rPr>
        <w:t>In cambio d</w:t>
      </w:r>
      <w:r w:rsidR="00A8759E">
        <w:rPr>
          <w:rFonts w:ascii="Times New Roman" w:hAnsi="Times New Roman" w:cs="Times New Roman"/>
          <w:sz w:val="24"/>
          <w:szCs w:val="24"/>
        </w:rPr>
        <w:t>elle saline che gli associati a</w:t>
      </w:r>
      <w:r w:rsidRPr="00C90D1B">
        <w:rPr>
          <w:rFonts w:ascii="Times New Roman" w:hAnsi="Times New Roman" w:cs="Times New Roman"/>
          <w:sz w:val="24"/>
          <w:szCs w:val="24"/>
        </w:rPr>
        <w:t>lla consorteria avevano consegnato al palazzo e che avevano erette nella palude di proprietà ducale detta</w:t>
      </w:r>
      <w:r w:rsidR="00A8759E">
        <w:rPr>
          <w:rFonts w:ascii="Times New Roman" w:hAnsi="Times New Roman" w:cs="Times New Roman"/>
          <w:sz w:val="24"/>
          <w:szCs w:val="24"/>
        </w:rPr>
        <w:t xml:space="preserve"> De Arcones</w:t>
      </w:r>
      <w:r w:rsidRPr="00C90D1B">
        <w:rPr>
          <w:rFonts w:ascii="Times New Roman" w:hAnsi="Times New Roman" w:cs="Times New Roman"/>
          <w:sz w:val="24"/>
          <w:szCs w:val="24"/>
        </w:rPr>
        <w:t xml:space="preserve">, </w:t>
      </w:r>
      <w:r>
        <w:rPr>
          <w:rFonts w:ascii="Times New Roman" w:hAnsi="Times New Roman" w:cs="Times New Roman"/>
          <w:sz w:val="24"/>
          <w:szCs w:val="24"/>
        </w:rPr>
        <w:t>Petrus</w:t>
      </w:r>
      <w:r w:rsidRPr="00C90D1B">
        <w:rPr>
          <w:rFonts w:ascii="Times New Roman" w:hAnsi="Times New Roman" w:cs="Times New Roman"/>
          <w:sz w:val="24"/>
          <w:szCs w:val="24"/>
        </w:rPr>
        <w:t xml:space="preserve"> &lt;</w:t>
      </w:r>
      <w:r w:rsidR="00EA25BA">
        <w:rPr>
          <w:rFonts w:ascii="Times New Roman" w:hAnsi="Times New Roman" w:cs="Times New Roman"/>
          <w:sz w:val="24"/>
          <w:szCs w:val="24"/>
        </w:rPr>
        <w:t>III, Candianus</w:t>
      </w:r>
      <w:r w:rsidRPr="00C90D1B">
        <w:rPr>
          <w:rFonts w:ascii="Times New Roman" w:hAnsi="Times New Roman" w:cs="Times New Roman"/>
          <w:sz w:val="24"/>
          <w:szCs w:val="24"/>
        </w:rPr>
        <w:t xml:space="preserve">&gt;, duca dei Venetici e figlio del &lt;defunto&gt; duca </w:t>
      </w:r>
      <w:r w:rsidR="00EA25BA">
        <w:rPr>
          <w:rFonts w:ascii="Times New Roman" w:hAnsi="Times New Roman" w:cs="Times New Roman"/>
          <w:sz w:val="24"/>
          <w:szCs w:val="24"/>
        </w:rPr>
        <w:t>Petrus &lt;II</w:t>
      </w:r>
      <w:r w:rsidR="008F4A2F">
        <w:rPr>
          <w:rFonts w:ascii="Times New Roman" w:hAnsi="Times New Roman" w:cs="Times New Roman"/>
          <w:sz w:val="24"/>
          <w:szCs w:val="24"/>
        </w:rPr>
        <w:t>,</w:t>
      </w:r>
      <w:bookmarkStart w:id="0" w:name="_GoBack"/>
      <w:bookmarkEnd w:id="0"/>
      <w:r w:rsidR="00EA25BA">
        <w:rPr>
          <w:rFonts w:ascii="Times New Roman" w:hAnsi="Times New Roman" w:cs="Times New Roman"/>
          <w:sz w:val="24"/>
          <w:szCs w:val="24"/>
        </w:rPr>
        <w:t xml:space="preserve"> Candianus</w:t>
      </w:r>
      <w:r>
        <w:rPr>
          <w:rFonts w:ascii="Times New Roman" w:hAnsi="Times New Roman" w:cs="Times New Roman"/>
          <w:sz w:val="24"/>
          <w:szCs w:val="24"/>
        </w:rPr>
        <w:t>&gt;</w:t>
      </w:r>
      <w:r w:rsidR="00E7785A">
        <w:rPr>
          <w:rFonts w:ascii="Times New Roman" w:hAnsi="Times New Roman" w:cs="Times New Roman"/>
          <w:sz w:val="24"/>
          <w:szCs w:val="24"/>
        </w:rPr>
        <w:t>, cede a Martinus, figlio di Dominicus</w:t>
      </w:r>
      <w:r w:rsidRPr="00C90D1B">
        <w:rPr>
          <w:rFonts w:ascii="Times New Roman" w:hAnsi="Times New Roman" w:cs="Times New Roman"/>
          <w:sz w:val="24"/>
          <w:szCs w:val="24"/>
        </w:rPr>
        <w:t xml:space="preserve"> </w:t>
      </w:r>
      <w:r w:rsidR="009C2683">
        <w:rPr>
          <w:rFonts w:ascii="Times New Roman" w:hAnsi="Times New Roman" w:cs="Times New Roman"/>
          <w:sz w:val="24"/>
          <w:szCs w:val="24"/>
        </w:rPr>
        <w:t>Çancanus</w:t>
      </w:r>
      <w:r w:rsidRPr="00C90D1B">
        <w:rPr>
          <w:rFonts w:ascii="Times New Roman" w:hAnsi="Times New Roman" w:cs="Times New Roman"/>
          <w:sz w:val="24"/>
          <w:szCs w:val="24"/>
        </w:rPr>
        <w:t xml:space="preserve">, una delle suddette saline, confinanti da un lato tra loro, dall’altro con </w:t>
      </w:r>
      <w:r w:rsidR="009C2683">
        <w:rPr>
          <w:rFonts w:ascii="Times New Roman" w:hAnsi="Times New Roman" w:cs="Times New Roman"/>
          <w:sz w:val="24"/>
          <w:szCs w:val="24"/>
        </w:rPr>
        <w:t>Felix d</w:t>
      </w:r>
      <w:r w:rsidRPr="00C90D1B">
        <w:rPr>
          <w:rFonts w:ascii="Times New Roman" w:hAnsi="Times New Roman" w:cs="Times New Roman"/>
          <w:sz w:val="24"/>
          <w:szCs w:val="24"/>
        </w:rPr>
        <w:t>a Molin</w:t>
      </w:r>
      <w:r w:rsidR="00E7785A">
        <w:rPr>
          <w:rFonts w:ascii="Times New Roman" w:hAnsi="Times New Roman" w:cs="Times New Roman"/>
          <w:sz w:val="24"/>
          <w:szCs w:val="24"/>
        </w:rPr>
        <w:t>o e dall’altro ancora con Marinus</w:t>
      </w:r>
      <w:r w:rsidRPr="00C90D1B">
        <w:rPr>
          <w:rFonts w:ascii="Times New Roman" w:hAnsi="Times New Roman" w:cs="Times New Roman"/>
          <w:sz w:val="24"/>
          <w:szCs w:val="24"/>
        </w:rPr>
        <w:t xml:space="preserve">, fratello di questi. Nel rispetto di accordi precedentemente scritti, il duca </w:t>
      </w:r>
      <w:r w:rsidR="00245BD8">
        <w:rPr>
          <w:rFonts w:ascii="Times New Roman" w:hAnsi="Times New Roman" w:cs="Times New Roman"/>
          <w:sz w:val="24"/>
          <w:szCs w:val="24"/>
        </w:rPr>
        <w:t xml:space="preserve">concede </w:t>
      </w:r>
      <w:r w:rsidR="00807931">
        <w:rPr>
          <w:rFonts w:ascii="Times New Roman" w:hAnsi="Times New Roman" w:cs="Times New Roman"/>
          <w:sz w:val="24"/>
          <w:szCs w:val="24"/>
        </w:rPr>
        <w:t>tale salina</w:t>
      </w:r>
      <w:r w:rsidR="006C0FE7">
        <w:rPr>
          <w:rFonts w:ascii="Times New Roman" w:hAnsi="Times New Roman" w:cs="Times New Roman"/>
          <w:sz w:val="24"/>
          <w:szCs w:val="24"/>
        </w:rPr>
        <w:t xml:space="preserve"> assieme all</w:t>
      </w:r>
      <w:r w:rsidR="00394A21">
        <w:rPr>
          <w:rFonts w:ascii="Times New Roman" w:hAnsi="Times New Roman" w:cs="Times New Roman"/>
          <w:sz w:val="24"/>
          <w:szCs w:val="24"/>
        </w:rPr>
        <w:t>e altre già dello stesso Martinus</w:t>
      </w:r>
      <w:r w:rsidR="006C0FE7">
        <w:rPr>
          <w:rFonts w:ascii="Times New Roman" w:hAnsi="Times New Roman" w:cs="Times New Roman"/>
          <w:sz w:val="24"/>
          <w:szCs w:val="24"/>
        </w:rPr>
        <w:t xml:space="preserve">, </w:t>
      </w:r>
      <w:r w:rsidRPr="00C90D1B">
        <w:rPr>
          <w:rFonts w:ascii="Times New Roman" w:hAnsi="Times New Roman" w:cs="Times New Roman"/>
          <w:sz w:val="24"/>
          <w:szCs w:val="24"/>
        </w:rPr>
        <w:t xml:space="preserve">con diritto di </w:t>
      </w:r>
      <w:r w:rsidR="00BA74CD">
        <w:rPr>
          <w:rFonts w:ascii="Times New Roman" w:hAnsi="Times New Roman" w:cs="Times New Roman"/>
          <w:sz w:val="24"/>
          <w:szCs w:val="24"/>
        </w:rPr>
        <w:t>tras</w:t>
      </w:r>
      <w:r w:rsidR="003D17DA">
        <w:rPr>
          <w:rFonts w:ascii="Times New Roman" w:hAnsi="Times New Roman" w:cs="Times New Roman"/>
          <w:sz w:val="24"/>
          <w:szCs w:val="24"/>
        </w:rPr>
        <w:t xml:space="preserve">metterle in </w:t>
      </w:r>
      <w:r w:rsidRPr="00C90D1B">
        <w:rPr>
          <w:rFonts w:ascii="Times New Roman" w:hAnsi="Times New Roman" w:cs="Times New Roman"/>
          <w:sz w:val="24"/>
          <w:szCs w:val="24"/>
        </w:rPr>
        <w:t xml:space="preserve">eredità, </w:t>
      </w:r>
      <w:r w:rsidR="003D17DA">
        <w:rPr>
          <w:rFonts w:ascii="Times New Roman" w:hAnsi="Times New Roman" w:cs="Times New Roman"/>
          <w:sz w:val="24"/>
          <w:szCs w:val="24"/>
        </w:rPr>
        <w:t>venderle</w:t>
      </w:r>
      <w:r w:rsidRPr="00C90D1B">
        <w:rPr>
          <w:rFonts w:ascii="Times New Roman" w:hAnsi="Times New Roman" w:cs="Times New Roman"/>
          <w:sz w:val="24"/>
          <w:szCs w:val="24"/>
        </w:rPr>
        <w:t xml:space="preserve">, </w:t>
      </w:r>
      <w:r w:rsidR="003D17DA">
        <w:rPr>
          <w:rFonts w:ascii="Times New Roman" w:hAnsi="Times New Roman" w:cs="Times New Roman"/>
          <w:sz w:val="24"/>
          <w:szCs w:val="24"/>
        </w:rPr>
        <w:t>permutarle</w:t>
      </w:r>
      <w:r w:rsidRPr="00C90D1B">
        <w:rPr>
          <w:rFonts w:ascii="Times New Roman" w:hAnsi="Times New Roman" w:cs="Times New Roman"/>
          <w:sz w:val="24"/>
          <w:szCs w:val="24"/>
        </w:rPr>
        <w:t xml:space="preserve"> e </w:t>
      </w:r>
      <w:r w:rsidR="00394A21">
        <w:rPr>
          <w:rFonts w:ascii="Times New Roman" w:hAnsi="Times New Roman" w:cs="Times New Roman"/>
          <w:sz w:val="24"/>
          <w:szCs w:val="24"/>
        </w:rPr>
        <w:t>do</w:t>
      </w:r>
      <w:r w:rsidR="003D17DA">
        <w:rPr>
          <w:rFonts w:ascii="Times New Roman" w:hAnsi="Times New Roman" w:cs="Times New Roman"/>
          <w:sz w:val="24"/>
          <w:szCs w:val="24"/>
        </w:rPr>
        <w:t>narle</w:t>
      </w:r>
      <w:r w:rsidRPr="00C90D1B">
        <w:rPr>
          <w:rFonts w:ascii="Times New Roman" w:hAnsi="Times New Roman" w:cs="Times New Roman"/>
          <w:sz w:val="24"/>
          <w:szCs w:val="24"/>
        </w:rPr>
        <w:t>, fatto salv</w:t>
      </w:r>
      <w:r w:rsidR="003D17DA">
        <w:rPr>
          <w:rFonts w:ascii="Times New Roman" w:hAnsi="Times New Roman" w:cs="Times New Roman"/>
          <w:sz w:val="24"/>
          <w:szCs w:val="24"/>
        </w:rPr>
        <w:t xml:space="preserve">o il censo e il quintello dovuti </w:t>
      </w:r>
      <w:r w:rsidRPr="00C90D1B">
        <w:rPr>
          <w:rFonts w:ascii="Times New Roman" w:hAnsi="Times New Roman" w:cs="Times New Roman"/>
          <w:sz w:val="24"/>
          <w:szCs w:val="24"/>
        </w:rPr>
        <w:t>al palazzo, nonché il diritto di prelazione in capo a quest’ultimo. Il duca accorda infine la licenza di prelevare terra dalle proprietà ducali e fango dalla palude del palazzo per restaura</w:t>
      </w:r>
      <w:r w:rsidR="0082415D">
        <w:rPr>
          <w:rFonts w:ascii="Times New Roman" w:hAnsi="Times New Roman" w:cs="Times New Roman"/>
          <w:sz w:val="24"/>
          <w:szCs w:val="24"/>
        </w:rPr>
        <w:t>re</w:t>
      </w:r>
      <w:r w:rsidRPr="00C90D1B">
        <w:rPr>
          <w:rFonts w:ascii="Times New Roman" w:hAnsi="Times New Roman" w:cs="Times New Roman"/>
          <w:sz w:val="24"/>
          <w:szCs w:val="24"/>
        </w:rPr>
        <w:t xml:space="preserve"> il fondamento di queste saline e si obbliga a sistemare le parti dei suoi argini </w:t>
      </w:r>
      <w:r>
        <w:rPr>
          <w:rFonts w:ascii="Times New Roman" w:hAnsi="Times New Roman" w:cs="Times New Roman"/>
          <w:sz w:val="24"/>
          <w:szCs w:val="24"/>
        </w:rPr>
        <w:t>ogni qualvolta sarà necessario.</w:t>
      </w:r>
    </w:p>
    <w:p w14:paraId="6314EA22" w14:textId="77777777" w:rsidR="00D25357" w:rsidRPr="00C90D1B" w:rsidRDefault="00D25357" w:rsidP="00C90D1B">
      <w:pPr>
        <w:spacing w:line="240" w:lineRule="auto"/>
        <w:contextualSpacing/>
        <w:jc w:val="both"/>
        <w:rPr>
          <w:rFonts w:ascii="Times New Roman" w:hAnsi="Times New Roman" w:cs="Times New Roman"/>
          <w:sz w:val="24"/>
          <w:szCs w:val="24"/>
        </w:rPr>
      </w:pPr>
    </w:p>
    <w:p w14:paraId="34671636" w14:textId="77777777" w:rsidR="00C90D1B" w:rsidRPr="00C90D1B" w:rsidRDefault="00C90D1B" w:rsidP="00C90D1B">
      <w:pPr>
        <w:spacing w:line="240" w:lineRule="auto"/>
        <w:contextualSpacing/>
        <w:jc w:val="both"/>
        <w:rPr>
          <w:rFonts w:ascii="Times New Roman" w:hAnsi="Times New Roman" w:cs="Times New Roman"/>
          <w:sz w:val="24"/>
          <w:szCs w:val="24"/>
        </w:rPr>
      </w:pPr>
      <w:r w:rsidRPr="00C90D1B">
        <w:rPr>
          <w:rFonts w:ascii="Times New Roman" w:hAnsi="Times New Roman" w:cs="Times New Roman"/>
          <w:sz w:val="24"/>
          <w:szCs w:val="24"/>
        </w:rPr>
        <w:t>Copia parziale del XIV secolo da copia semplice oggi perduta già in Murano, Archivio Parrocchiale dei Santi Maria e Donato</w:t>
      </w:r>
      <w:r w:rsidRPr="00C90D1B">
        <w:rPr>
          <w:rStyle w:val="Rimandonotadichiusura"/>
          <w:rFonts w:ascii="Times New Roman" w:hAnsi="Times New Roman" w:cs="Times New Roman"/>
          <w:sz w:val="24"/>
          <w:szCs w:val="24"/>
        </w:rPr>
        <w:endnoteReference w:id="1"/>
      </w:r>
      <w:r w:rsidRPr="00C90D1B">
        <w:rPr>
          <w:rFonts w:ascii="Times New Roman" w:hAnsi="Times New Roman" w:cs="Times New Roman"/>
          <w:sz w:val="24"/>
          <w:szCs w:val="24"/>
        </w:rPr>
        <w:t>.</w:t>
      </w:r>
    </w:p>
    <w:p w14:paraId="71CBD2C2" w14:textId="77777777" w:rsidR="00C90D1B" w:rsidRPr="00C90D1B" w:rsidRDefault="00C90D1B" w:rsidP="00C90D1B">
      <w:pPr>
        <w:spacing w:line="240" w:lineRule="auto"/>
        <w:contextualSpacing/>
        <w:jc w:val="both"/>
        <w:rPr>
          <w:rFonts w:ascii="Times New Roman" w:hAnsi="Times New Roman" w:cs="Times New Roman"/>
          <w:sz w:val="24"/>
          <w:szCs w:val="24"/>
        </w:rPr>
      </w:pPr>
    </w:p>
    <w:p w14:paraId="33613EB5" w14:textId="11B5B9B1" w:rsidR="00C90D1B" w:rsidRPr="00C90D1B" w:rsidRDefault="00807931" w:rsidP="00C90D1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C90D1B" w:rsidRPr="00C90D1B">
        <w:rPr>
          <w:rFonts w:ascii="Times New Roman" w:hAnsi="Times New Roman" w:cs="Times New Roman"/>
          <w:sz w:val="24"/>
          <w:szCs w:val="24"/>
        </w:rPr>
        <w:t>40</w:t>
      </w:r>
    </w:p>
    <w:p w14:paraId="34AF84B0" w14:textId="77777777" w:rsidR="00C90D1B" w:rsidRPr="00C90D1B" w:rsidRDefault="00C90D1B" w:rsidP="00C90D1B">
      <w:pPr>
        <w:spacing w:line="240" w:lineRule="auto"/>
        <w:contextualSpacing/>
        <w:rPr>
          <w:rFonts w:ascii="Times New Roman" w:hAnsi="Times New Roman" w:cs="Times New Roman"/>
          <w:sz w:val="24"/>
          <w:szCs w:val="24"/>
        </w:rPr>
      </w:pPr>
      <w:r>
        <w:rPr>
          <w:rFonts w:ascii="Times New Roman" w:hAnsi="Times New Roman" w:cs="Times New Roman"/>
          <w:sz w:val="24"/>
          <w:szCs w:val="24"/>
        </w:rPr>
        <w:t>Edizione:</w:t>
      </w:r>
      <w:r w:rsidRPr="00C90D1B">
        <w:rPr>
          <w:rFonts w:ascii="Times New Roman" w:hAnsi="Times New Roman" w:cs="Times New Roman"/>
          <w:sz w:val="24"/>
          <w:szCs w:val="24"/>
        </w:rPr>
        <w:t xml:space="preserve"> Cessi 1942.</w:t>
      </w:r>
    </w:p>
    <w:p w14:paraId="4C823319" w14:textId="77777777" w:rsidR="00C90D1B" w:rsidRPr="00C90D1B" w:rsidRDefault="00C90D1B" w:rsidP="00C90D1B">
      <w:pPr>
        <w:spacing w:line="240" w:lineRule="auto"/>
        <w:contextualSpacing/>
        <w:jc w:val="both"/>
        <w:rPr>
          <w:rFonts w:ascii="Times New Roman" w:hAnsi="Times New Roman" w:cs="Times New Roman"/>
          <w:sz w:val="24"/>
          <w:szCs w:val="24"/>
        </w:rPr>
      </w:pPr>
    </w:p>
    <w:p w14:paraId="39EF13C9" w14:textId="2721D9D6" w:rsidR="00C90D1B" w:rsidRPr="00C90D1B" w:rsidRDefault="00C90D1B" w:rsidP="00C90D1B">
      <w:pPr>
        <w:spacing w:line="240" w:lineRule="auto"/>
        <w:contextualSpacing/>
        <w:jc w:val="both"/>
        <w:rPr>
          <w:rFonts w:ascii="Times New Roman" w:hAnsi="Times New Roman" w:cs="Times New Roman"/>
          <w:sz w:val="24"/>
          <w:szCs w:val="24"/>
        </w:rPr>
      </w:pPr>
      <w:r w:rsidRPr="00C90D1B">
        <w:rPr>
          <w:rFonts w:ascii="Times New Roman" w:hAnsi="Times New Roman" w:cs="Times New Roman"/>
          <w:sz w:val="24"/>
          <w:szCs w:val="24"/>
        </w:rPr>
        <w:t xml:space="preserve">In nomine domini Dei et salvatoris nostri Ihesu Christi. Imperantibus dominis nostris Constantino et Romano, eius filio, magnis imperatoribus, anno autem imperio Constantino quadragesimo sexto et Romano, eius filio, duodecimo, mense marcii, indicione prima, Rivoalto. Pro eo quod salinas preparatas usque ad absitorias in tempore totos vestros </w:t>
      </w:r>
      <w:r w:rsidRPr="00161F4E">
        <w:rPr>
          <w:rFonts w:ascii="Times New Roman" w:hAnsi="Times New Roman" w:cs="Times New Roman"/>
          <w:sz w:val="24"/>
          <w:szCs w:val="24"/>
        </w:rPr>
        <w:t>consortes</w:t>
      </w:r>
      <w:r w:rsidRPr="00C90D1B">
        <w:rPr>
          <w:rFonts w:ascii="Times New Roman" w:hAnsi="Times New Roman" w:cs="Times New Roman"/>
          <w:sz w:val="24"/>
          <w:szCs w:val="24"/>
        </w:rPr>
        <w:t xml:space="preserve"> dedistis et tradidistis in curtis palacii de illas, quas ellevastis in ipsa pallude et terrenis, que dicitur de Arcones,</w:t>
      </w:r>
      <w:r w:rsidR="0062075A" w:rsidRPr="00C90D1B">
        <w:rPr>
          <w:rStyle w:val="Rimandonotadichiusura"/>
          <w:rFonts w:ascii="Times New Roman" w:hAnsi="Times New Roman" w:cs="Times New Roman"/>
          <w:sz w:val="24"/>
          <w:szCs w:val="24"/>
        </w:rPr>
        <w:endnoteReference w:id="2"/>
      </w:r>
      <w:r w:rsidRPr="00C90D1B">
        <w:rPr>
          <w:rFonts w:ascii="Times New Roman" w:hAnsi="Times New Roman" w:cs="Times New Roman"/>
          <w:sz w:val="24"/>
          <w:szCs w:val="24"/>
        </w:rPr>
        <w:t xml:space="preserve"> que est proprietas palacii nostri, et illam vobis largivimus </w:t>
      </w:r>
      <w:r w:rsidRPr="00161F4E">
        <w:rPr>
          <w:rFonts w:ascii="Times New Roman" w:hAnsi="Times New Roman" w:cs="Times New Roman"/>
          <w:sz w:val="24"/>
          <w:szCs w:val="24"/>
        </w:rPr>
        <w:t>fundamentum</w:t>
      </w:r>
      <w:r w:rsidRPr="00C90D1B">
        <w:rPr>
          <w:rFonts w:ascii="Times New Roman" w:hAnsi="Times New Roman" w:cs="Times New Roman"/>
          <w:sz w:val="24"/>
          <w:szCs w:val="24"/>
        </w:rPr>
        <w:t xml:space="preserve"> salinarum construendum</w:t>
      </w:r>
      <w:r w:rsidR="0062075A">
        <w:rPr>
          <w:rStyle w:val="Rimandonotadichiusura"/>
          <w:rFonts w:ascii="Times New Roman" w:hAnsi="Times New Roman" w:cs="Times New Roman"/>
          <w:sz w:val="24"/>
          <w:szCs w:val="24"/>
        </w:rPr>
        <w:endnoteReference w:id="3"/>
      </w:r>
      <w:r w:rsidRPr="00C90D1B">
        <w:rPr>
          <w:rFonts w:ascii="Times New Roman" w:hAnsi="Times New Roman" w:cs="Times New Roman"/>
          <w:sz w:val="24"/>
          <w:szCs w:val="24"/>
        </w:rPr>
        <w:t xml:space="preserve"> tenente toto ipso fundamento, sicut se comprendit, ab uno suo capite in palude amurianense et alio in terrena palacii nostri, uno lato comenzaria, que vadit ad Torcellum, et alio in comenzaria Barbarani. Ideo nos Petrus, deo auxiliante dux Veneticorum, filio [quondam] domino Petro duci,</w:t>
      </w:r>
      <w:r w:rsidR="00564092">
        <w:rPr>
          <w:rStyle w:val="Rimandonotadichiusura"/>
          <w:rFonts w:ascii="Times New Roman" w:hAnsi="Times New Roman" w:cs="Times New Roman"/>
          <w:sz w:val="24"/>
          <w:szCs w:val="24"/>
        </w:rPr>
        <w:endnoteReference w:id="4"/>
      </w:r>
      <w:r w:rsidRPr="00C90D1B">
        <w:rPr>
          <w:rFonts w:ascii="Times New Roman" w:hAnsi="Times New Roman" w:cs="Times New Roman"/>
          <w:sz w:val="24"/>
          <w:szCs w:val="24"/>
        </w:rPr>
        <w:t xml:space="preserve"> una pariter cum itemque duce filo meo</w:t>
      </w:r>
      <w:r w:rsidR="00F25C31">
        <w:rPr>
          <w:rStyle w:val="Rimandonotadichiusura"/>
          <w:rFonts w:ascii="Times New Roman" w:hAnsi="Times New Roman" w:cs="Times New Roman"/>
          <w:sz w:val="24"/>
          <w:szCs w:val="24"/>
        </w:rPr>
        <w:endnoteReference w:id="5"/>
      </w:r>
      <w:r w:rsidRPr="00C90D1B">
        <w:rPr>
          <w:rFonts w:ascii="Times New Roman" w:hAnsi="Times New Roman" w:cs="Times New Roman"/>
          <w:sz w:val="24"/>
          <w:szCs w:val="24"/>
        </w:rPr>
        <w:t xml:space="preserve"> cum successoribus nostris ab hodie damus, tradimus atque concedimus tibi Martino, filio Dominico Çancani, et abheredibus ac proheredibus posterisque vestris pro futurum possidendi, hoc est una sallina de illas, quas ellevastis in predicta pallude et terrenas palacii nostri, totas ipsas sallinas uno corpore coniunctas ab uno latere, in alio in Felice da Molino et alio in Marino, fratri suo, simul iaglaciones et transiaglaciones suas et porciones de terrenas suas iuxta istas tuas sallinas</w:t>
      </w:r>
      <w:r w:rsidR="006C0FE7">
        <w:rPr>
          <w:rStyle w:val="Rimandonotadichiusura"/>
          <w:rFonts w:ascii="Times New Roman" w:hAnsi="Times New Roman" w:cs="Times New Roman"/>
          <w:sz w:val="24"/>
          <w:szCs w:val="24"/>
        </w:rPr>
        <w:endnoteReference w:id="6"/>
      </w:r>
      <w:r w:rsidRPr="00C90D1B">
        <w:rPr>
          <w:rFonts w:ascii="Times New Roman" w:hAnsi="Times New Roman" w:cs="Times New Roman"/>
          <w:sz w:val="24"/>
          <w:szCs w:val="24"/>
        </w:rPr>
        <w:t xml:space="preserve"> una cum introitos et exitos suos et vias suas, sicut ad nos ceteros pertinentibus tibi de ipso fundamento nobis et in nostro palacio scribere fecistis, et eam observantes et adimplentes ab hoc die in Dei nomine ipsas sallinas habeas, teneas, possideas, iure dominioque tuo in perpetuum vindices adque defendas, tuisque heredibus ac pro tuis posteris relinquas, habendi, tenendi, vendendi, donandi, commutandi, vel quia quid vobis placuerit faciendi, nullo tibi homine contradicente salvo censo ad en[censum in] nostro palacio,</w:t>
      </w:r>
      <w:r w:rsidR="00161F4E">
        <w:rPr>
          <w:rStyle w:val="Rimandonotadichiusura"/>
          <w:rFonts w:ascii="Times New Roman" w:hAnsi="Times New Roman" w:cs="Times New Roman"/>
          <w:sz w:val="24"/>
          <w:szCs w:val="24"/>
        </w:rPr>
        <w:endnoteReference w:id="7"/>
      </w:r>
      <w:r w:rsidRPr="00C90D1B">
        <w:rPr>
          <w:rFonts w:ascii="Times New Roman" w:hAnsi="Times New Roman" w:cs="Times New Roman"/>
          <w:sz w:val="24"/>
          <w:szCs w:val="24"/>
        </w:rPr>
        <w:t xml:space="preserve"> id est pro uno quoque rotante anno sal modio uno pro unaquaque sallina, quando levaveris de eas usque ad decem modias de salle, et si minus de decem modias per annum levaveris, tunc tres dies pro ipsa sale censum in nostro palacio dare debeas ipsum predictum censum salvum, et cunctam in tuo capite secundum ipsam promissionem persolvere debeas, quum in legibus caute preceptum est ut, cum semel traditum fuerit vel donatum, nullo modo revocetur, et si venundaveris ipsas sallinas, quintellum sit salvum in nostro palacio. Verumtamen placuit nobis, ut, si ipsas sallinas ad venundandum venerit et de tua prole non fuerit, qui eas comparare non possit, non debeatis ea in extranea persona venundare nisi in nostro palacio.</w:t>
      </w:r>
      <w:r w:rsidR="008B7E15" w:rsidRPr="008B7E15">
        <w:rPr>
          <w:rStyle w:val="Rimandonotadichiusura"/>
          <w:rFonts w:ascii="Times New Roman" w:hAnsi="Times New Roman" w:cs="Times New Roman"/>
          <w:sz w:val="24"/>
          <w:szCs w:val="24"/>
        </w:rPr>
        <w:t xml:space="preserve"> </w:t>
      </w:r>
      <w:r w:rsidR="008B7E15">
        <w:rPr>
          <w:rStyle w:val="Rimandonotadichiusura"/>
          <w:rFonts w:ascii="Times New Roman" w:hAnsi="Times New Roman" w:cs="Times New Roman"/>
          <w:sz w:val="24"/>
          <w:szCs w:val="24"/>
        </w:rPr>
        <w:endnoteReference w:id="8"/>
      </w:r>
      <w:r w:rsidRPr="00C90D1B">
        <w:rPr>
          <w:rFonts w:ascii="Times New Roman" w:hAnsi="Times New Roman" w:cs="Times New Roman"/>
          <w:sz w:val="24"/>
          <w:szCs w:val="24"/>
        </w:rPr>
        <w:t xml:space="preserve"> Si noster palacius tantum precium dare noluerit illum in tempore, sicut ipsas sallinas apreciatas fuerit, quod si noster palacius emere noluerit, tunc potestatem habeatis ipsas sallinas venundare cui volueritis, salvo quintello et censo de nostro palacio. Et damus vobis </w:t>
      </w:r>
      <w:r w:rsidRPr="00C90D1B">
        <w:rPr>
          <w:rFonts w:ascii="Times New Roman" w:hAnsi="Times New Roman" w:cs="Times New Roman"/>
          <w:sz w:val="24"/>
          <w:szCs w:val="24"/>
        </w:rPr>
        <w:lastRenderedPageBreak/>
        <w:t xml:space="preserve">licentiam tollendi terram de terrenis de nostro palacio et loto de palude de nostro palacio ad conciandum et restaurandum ipsum fondamentum sallinarum, tantum hec omnia, ut supra legitur, cum accessus et egressus et vias et iunctorios suos et iuglaciones suas et omnia ad se pertinentibus, ita unus ab alio viam non contradicatis, non in eundo neque redeundo. Quod si quodcumque tempore contra hanc cartam ire temptaverimus nos autem nostris successoribus et aliquid vobis subtraere voluerimus et adimplente vos promissionem vestram, et ab omnibus hominibus vos defensare noluerimus aut non potuerimus, qui vos de infrascripta re expellere voluerit, ex parte vel ex totum aut contra hanc cartam ire temptaverimus, tunc componere promitto cum meis successoribus tibi et tuis heredibus auro obrizo libra una. Et promittimus vobis cum nostris successoribus conciare nostras porciones de aggeres omnique tempus, quando opus fuerit. Quod si noluerimus et dampnum pro hoc vobis adcreverit, componere debeamus vobis argenti libra una. Et hec carta maneat in sua firmitate. </w:t>
      </w:r>
    </w:p>
    <w:p w14:paraId="23D6C75C" w14:textId="77777777" w:rsidR="00B64497" w:rsidRPr="00C90D1B" w:rsidRDefault="00B64497" w:rsidP="00C90D1B">
      <w:pPr>
        <w:spacing w:line="240" w:lineRule="auto"/>
        <w:rPr>
          <w:rFonts w:ascii="Times New Roman" w:hAnsi="Times New Roman" w:cs="Times New Roman"/>
          <w:sz w:val="24"/>
          <w:szCs w:val="24"/>
        </w:rPr>
      </w:pPr>
    </w:p>
    <w:p w14:paraId="01AAD6E3" w14:textId="77777777" w:rsidR="00C90D1B" w:rsidRPr="00C90D1B" w:rsidRDefault="00C90D1B" w:rsidP="00C90D1B">
      <w:pPr>
        <w:spacing w:line="240" w:lineRule="auto"/>
        <w:rPr>
          <w:rFonts w:ascii="Times New Roman" w:hAnsi="Times New Roman" w:cs="Times New Roman"/>
          <w:sz w:val="24"/>
          <w:szCs w:val="24"/>
        </w:rPr>
      </w:pPr>
    </w:p>
    <w:p w14:paraId="12027A5D" w14:textId="77777777" w:rsidR="00C90D1B" w:rsidRPr="00C90D1B" w:rsidRDefault="00C90D1B" w:rsidP="00C90D1B">
      <w:pPr>
        <w:spacing w:line="240" w:lineRule="auto"/>
        <w:rPr>
          <w:rFonts w:ascii="Times New Roman" w:hAnsi="Times New Roman" w:cs="Times New Roman"/>
          <w:sz w:val="24"/>
          <w:szCs w:val="24"/>
        </w:rPr>
      </w:pPr>
    </w:p>
    <w:p w14:paraId="041D0899" w14:textId="77777777" w:rsidR="00C90D1B" w:rsidRPr="00C90D1B" w:rsidRDefault="00C90D1B" w:rsidP="00C90D1B">
      <w:pPr>
        <w:spacing w:line="240" w:lineRule="auto"/>
        <w:rPr>
          <w:rFonts w:ascii="Times New Roman" w:hAnsi="Times New Roman" w:cs="Times New Roman"/>
          <w:sz w:val="24"/>
          <w:szCs w:val="24"/>
        </w:rPr>
      </w:pPr>
    </w:p>
    <w:p w14:paraId="68DF92A5" w14:textId="77777777" w:rsidR="00C90D1B" w:rsidRPr="00C90D1B" w:rsidRDefault="00C90D1B" w:rsidP="00C90D1B">
      <w:pPr>
        <w:spacing w:line="240" w:lineRule="auto"/>
        <w:rPr>
          <w:rFonts w:ascii="Times New Roman" w:hAnsi="Times New Roman" w:cs="Times New Roman"/>
          <w:sz w:val="24"/>
          <w:szCs w:val="24"/>
        </w:rPr>
      </w:pPr>
    </w:p>
    <w:p w14:paraId="6409C591" w14:textId="77777777" w:rsidR="00C90D1B" w:rsidRPr="00C90D1B" w:rsidRDefault="00C90D1B" w:rsidP="00C90D1B">
      <w:pPr>
        <w:spacing w:line="240" w:lineRule="auto"/>
        <w:rPr>
          <w:rFonts w:ascii="Times New Roman" w:hAnsi="Times New Roman" w:cs="Times New Roman"/>
          <w:sz w:val="24"/>
          <w:szCs w:val="24"/>
        </w:rPr>
      </w:pPr>
    </w:p>
    <w:p w14:paraId="65ED2EA7" w14:textId="77777777" w:rsidR="00C90D1B" w:rsidRPr="00C90D1B" w:rsidRDefault="00C90D1B" w:rsidP="00C90D1B">
      <w:pPr>
        <w:spacing w:line="240" w:lineRule="auto"/>
        <w:rPr>
          <w:rFonts w:ascii="Times New Roman" w:hAnsi="Times New Roman" w:cs="Times New Roman"/>
          <w:sz w:val="24"/>
          <w:szCs w:val="24"/>
        </w:rPr>
      </w:pPr>
    </w:p>
    <w:p w14:paraId="5723BAD9" w14:textId="77777777" w:rsidR="00C90D1B" w:rsidRPr="00C90D1B" w:rsidRDefault="00C90D1B" w:rsidP="00C90D1B">
      <w:pPr>
        <w:spacing w:line="240" w:lineRule="auto"/>
        <w:rPr>
          <w:rFonts w:ascii="Times New Roman" w:hAnsi="Times New Roman" w:cs="Times New Roman"/>
          <w:sz w:val="24"/>
          <w:szCs w:val="24"/>
        </w:rPr>
      </w:pPr>
    </w:p>
    <w:p w14:paraId="10C3EC2E" w14:textId="77777777" w:rsidR="00C90D1B" w:rsidRPr="00C90D1B" w:rsidRDefault="00C90D1B" w:rsidP="00C90D1B">
      <w:pPr>
        <w:spacing w:line="240" w:lineRule="auto"/>
        <w:rPr>
          <w:rFonts w:ascii="Times New Roman" w:hAnsi="Times New Roman" w:cs="Times New Roman"/>
          <w:sz w:val="24"/>
          <w:szCs w:val="24"/>
        </w:rPr>
      </w:pPr>
    </w:p>
    <w:p w14:paraId="47484FEA" w14:textId="77777777" w:rsidR="00C90D1B" w:rsidRPr="00C90D1B" w:rsidRDefault="00C90D1B" w:rsidP="00C90D1B">
      <w:pPr>
        <w:spacing w:line="240" w:lineRule="auto"/>
        <w:rPr>
          <w:rFonts w:ascii="Times New Roman" w:hAnsi="Times New Roman" w:cs="Times New Roman"/>
          <w:sz w:val="24"/>
          <w:szCs w:val="24"/>
        </w:rPr>
      </w:pPr>
    </w:p>
    <w:p w14:paraId="3C2EAE7B" w14:textId="77777777" w:rsidR="00C90D1B" w:rsidRPr="00C90D1B" w:rsidRDefault="00C90D1B" w:rsidP="00C90D1B">
      <w:pPr>
        <w:spacing w:line="240" w:lineRule="auto"/>
        <w:rPr>
          <w:rFonts w:ascii="Times New Roman" w:hAnsi="Times New Roman" w:cs="Times New Roman"/>
          <w:sz w:val="24"/>
          <w:szCs w:val="24"/>
        </w:rPr>
      </w:pPr>
    </w:p>
    <w:p w14:paraId="65E882CB" w14:textId="77777777" w:rsidR="00C90D1B" w:rsidRPr="00C90D1B" w:rsidRDefault="00C90D1B" w:rsidP="00C90D1B">
      <w:pPr>
        <w:spacing w:line="240" w:lineRule="auto"/>
        <w:rPr>
          <w:rFonts w:ascii="Times New Roman" w:hAnsi="Times New Roman" w:cs="Times New Roman"/>
          <w:sz w:val="24"/>
          <w:szCs w:val="24"/>
        </w:rPr>
      </w:pPr>
    </w:p>
    <w:p w14:paraId="23EE84FB" w14:textId="77777777" w:rsidR="00C90D1B" w:rsidRPr="00C90D1B" w:rsidRDefault="00C90D1B" w:rsidP="00C90D1B">
      <w:pPr>
        <w:spacing w:line="240" w:lineRule="auto"/>
        <w:rPr>
          <w:rFonts w:ascii="Times New Roman" w:hAnsi="Times New Roman" w:cs="Times New Roman"/>
          <w:sz w:val="24"/>
          <w:szCs w:val="24"/>
        </w:rPr>
      </w:pPr>
    </w:p>
    <w:p w14:paraId="107065DB" w14:textId="77777777" w:rsidR="00C90D1B" w:rsidRPr="00C90D1B" w:rsidRDefault="00C90D1B" w:rsidP="00C90D1B">
      <w:pPr>
        <w:spacing w:line="240" w:lineRule="auto"/>
        <w:rPr>
          <w:rFonts w:ascii="Times New Roman" w:hAnsi="Times New Roman" w:cs="Times New Roman"/>
          <w:sz w:val="24"/>
          <w:szCs w:val="24"/>
        </w:rPr>
      </w:pPr>
    </w:p>
    <w:p w14:paraId="43003FC6" w14:textId="77777777" w:rsidR="00C90D1B" w:rsidRPr="00C90D1B" w:rsidRDefault="00C90D1B" w:rsidP="00C90D1B">
      <w:pPr>
        <w:spacing w:line="240" w:lineRule="auto"/>
        <w:rPr>
          <w:rFonts w:ascii="Times New Roman" w:hAnsi="Times New Roman" w:cs="Times New Roman"/>
          <w:sz w:val="24"/>
          <w:szCs w:val="24"/>
        </w:rPr>
      </w:pPr>
    </w:p>
    <w:p w14:paraId="7B9B7820" w14:textId="77777777" w:rsidR="00C90D1B" w:rsidRDefault="00C90D1B" w:rsidP="00C90D1B">
      <w:pPr>
        <w:spacing w:line="240" w:lineRule="auto"/>
        <w:rPr>
          <w:rFonts w:ascii="Times New Roman" w:hAnsi="Times New Roman" w:cs="Times New Roman"/>
          <w:sz w:val="24"/>
          <w:szCs w:val="24"/>
        </w:rPr>
      </w:pPr>
    </w:p>
    <w:p w14:paraId="165C64BB" w14:textId="77777777" w:rsidR="00C90D1B" w:rsidRDefault="00C90D1B" w:rsidP="00C90D1B">
      <w:pPr>
        <w:spacing w:line="240" w:lineRule="auto"/>
        <w:rPr>
          <w:rFonts w:ascii="Times New Roman" w:hAnsi="Times New Roman" w:cs="Times New Roman"/>
          <w:sz w:val="24"/>
          <w:szCs w:val="24"/>
        </w:rPr>
      </w:pPr>
    </w:p>
    <w:p w14:paraId="71910C35" w14:textId="77777777" w:rsidR="00C90D1B" w:rsidRDefault="00C90D1B" w:rsidP="00C90D1B">
      <w:pPr>
        <w:spacing w:line="240" w:lineRule="auto"/>
        <w:rPr>
          <w:rFonts w:ascii="Times New Roman" w:hAnsi="Times New Roman" w:cs="Times New Roman"/>
          <w:sz w:val="24"/>
          <w:szCs w:val="24"/>
        </w:rPr>
      </w:pPr>
    </w:p>
    <w:p w14:paraId="648E48E2" w14:textId="77777777" w:rsidR="00C90D1B" w:rsidRDefault="00C90D1B" w:rsidP="00C90D1B">
      <w:pPr>
        <w:spacing w:line="240" w:lineRule="auto"/>
        <w:rPr>
          <w:rFonts w:ascii="Times New Roman" w:hAnsi="Times New Roman" w:cs="Times New Roman"/>
          <w:sz w:val="24"/>
          <w:szCs w:val="24"/>
        </w:rPr>
      </w:pPr>
    </w:p>
    <w:p w14:paraId="418EFB37" w14:textId="77777777" w:rsidR="00C90D1B" w:rsidRDefault="00C90D1B" w:rsidP="00C90D1B">
      <w:pPr>
        <w:spacing w:line="240" w:lineRule="auto"/>
        <w:rPr>
          <w:rFonts w:ascii="Times New Roman" w:hAnsi="Times New Roman" w:cs="Times New Roman"/>
          <w:sz w:val="24"/>
          <w:szCs w:val="24"/>
        </w:rPr>
      </w:pPr>
    </w:p>
    <w:p w14:paraId="098F5097" w14:textId="77777777" w:rsidR="00A8759E" w:rsidRDefault="00A8759E" w:rsidP="00C90D1B">
      <w:pPr>
        <w:spacing w:line="240" w:lineRule="auto"/>
        <w:rPr>
          <w:rFonts w:ascii="Times New Roman" w:hAnsi="Times New Roman" w:cs="Times New Roman"/>
          <w:sz w:val="24"/>
          <w:szCs w:val="24"/>
        </w:rPr>
      </w:pPr>
    </w:p>
    <w:p w14:paraId="25484326" w14:textId="77777777" w:rsidR="00C90D1B" w:rsidRPr="00C90D1B" w:rsidRDefault="00C90D1B" w:rsidP="00C90D1B">
      <w:pPr>
        <w:spacing w:line="240" w:lineRule="auto"/>
        <w:rPr>
          <w:rFonts w:ascii="Times New Roman" w:hAnsi="Times New Roman" w:cs="Times New Roman"/>
          <w:sz w:val="24"/>
          <w:szCs w:val="24"/>
        </w:rPr>
      </w:pPr>
    </w:p>
    <w:p w14:paraId="6044DE4C" w14:textId="77777777" w:rsidR="00C90D1B" w:rsidRPr="00C90D1B" w:rsidRDefault="00C90D1B" w:rsidP="00C90D1B">
      <w:pPr>
        <w:spacing w:line="240" w:lineRule="auto"/>
        <w:rPr>
          <w:rFonts w:ascii="Times New Roman" w:hAnsi="Times New Roman" w:cs="Times New Roman"/>
          <w:sz w:val="24"/>
          <w:szCs w:val="24"/>
        </w:rPr>
      </w:pPr>
    </w:p>
    <w:p w14:paraId="4D10ED1D" w14:textId="77777777" w:rsidR="00C90D1B" w:rsidRPr="00C90D1B" w:rsidRDefault="00C90D1B" w:rsidP="00C90D1B">
      <w:pPr>
        <w:spacing w:line="240" w:lineRule="auto"/>
        <w:rPr>
          <w:rFonts w:ascii="Times New Roman" w:hAnsi="Times New Roman" w:cs="Times New Roman"/>
          <w:sz w:val="24"/>
          <w:szCs w:val="24"/>
        </w:rPr>
      </w:pPr>
      <w:r w:rsidRPr="00C90D1B">
        <w:rPr>
          <w:rFonts w:ascii="Times New Roman" w:hAnsi="Times New Roman" w:cs="Times New Roman"/>
          <w:sz w:val="24"/>
          <w:szCs w:val="24"/>
        </w:rPr>
        <w:t>NOTE STORICHE</w:t>
      </w:r>
    </w:p>
    <w:sectPr w:rsidR="00C90D1B" w:rsidRPr="00C90D1B" w:rsidSect="005C6C6F">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B8B166" w14:textId="77777777" w:rsidR="00D107E4" w:rsidRDefault="00D107E4" w:rsidP="00C90D1B">
      <w:pPr>
        <w:spacing w:after="0" w:line="240" w:lineRule="auto"/>
      </w:pPr>
      <w:r>
        <w:separator/>
      </w:r>
    </w:p>
  </w:endnote>
  <w:endnote w:type="continuationSeparator" w:id="0">
    <w:p w14:paraId="59E975EB" w14:textId="77777777" w:rsidR="00D107E4" w:rsidRDefault="00D107E4" w:rsidP="00C90D1B">
      <w:pPr>
        <w:spacing w:after="0" w:line="240" w:lineRule="auto"/>
      </w:pPr>
      <w:r>
        <w:continuationSeparator/>
      </w:r>
    </w:p>
  </w:endnote>
  <w:endnote w:id="1">
    <w:p w14:paraId="029E97E0" w14:textId="52F2F9FA" w:rsidR="00D107E4" w:rsidRPr="00564092" w:rsidRDefault="00D107E4" w:rsidP="00564092">
      <w:pPr>
        <w:pStyle w:val="Testonotadichiusura"/>
        <w:jc w:val="both"/>
        <w:rPr>
          <w:rFonts w:ascii="Times New Roman" w:hAnsi="Times New Roman" w:cs="Times New Roman"/>
          <w:sz w:val="20"/>
          <w:szCs w:val="20"/>
        </w:rPr>
      </w:pPr>
      <w:r w:rsidRPr="00564092">
        <w:rPr>
          <w:rStyle w:val="Rimandonotadichiusura"/>
          <w:rFonts w:ascii="Times New Roman" w:hAnsi="Times New Roman" w:cs="Times New Roman"/>
          <w:sz w:val="20"/>
          <w:szCs w:val="20"/>
        </w:rPr>
        <w:endnoteRef/>
      </w:r>
      <w:r w:rsidRPr="00564092">
        <w:rPr>
          <w:rFonts w:ascii="Times New Roman" w:hAnsi="Times New Roman" w:cs="Times New Roman"/>
          <w:sz w:val="20"/>
          <w:szCs w:val="20"/>
        </w:rPr>
        <w:t xml:space="preserve"> Di questo documento esistevano due copie </w:t>
      </w:r>
      <w:r w:rsidR="00807931">
        <w:rPr>
          <w:rFonts w:ascii="Times New Roman" w:hAnsi="Times New Roman" w:cs="Times New Roman"/>
          <w:sz w:val="20"/>
          <w:szCs w:val="20"/>
        </w:rPr>
        <w:t>parziali</w:t>
      </w:r>
      <w:r w:rsidRPr="00564092">
        <w:rPr>
          <w:rFonts w:ascii="Times New Roman" w:hAnsi="Times New Roman" w:cs="Times New Roman"/>
          <w:sz w:val="20"/>
          <w:szCs w:val="20"/>
        </w:rPr>
        <w:t>, l’una conservata presso l’archivio di San Giovanni Evangelista di Torcello e l’altra conservata presso l’Archi</w:t>
      </w:r>
      <w:r w:rsidR="0082415D">
        <w:rPr>
          <w:rFonts w:ascii="Times New Roman" w:hAnsi="Times New Roman" w:cs="Times New Roman"/>
          <w:sz w:val="20"/>
          <w:szCs w:val="20"/>
        </w:rPr>
        <w:t>vio Parrocchiale dei Santi Maria</w:t>
      </w:r>
      <w:r w:rsidRPr="00564092">
        <w:rPr>
          <w:rFonts w:ascii="Times New Roman" w:hAnsi="Times New Roman" w:cs="Times New Roman"/>
          <w:sz w:val="20"/>
          <w:szCs w:val="20"/>
        </w:rPr>
        <w:t xml:space="preserve"> e Donato di Murano. Entrambe le copie sono andate perdute. Si veda </w:t>
      </w:r>
      <w:r w:rsidRPr="00564092">
        <w:rPr>
          <w:rFonts w:ascii="Times New Roman" w:hAnsi="Times New Roman" w:cs="Times New Roman"/>
          <w:smallCaps/>
          <w:sz w:val="20"/>
          <w:szCs w:val="20"/>
        </w:rPr>
        <w:t>Lanfranchi</w:t>
      </w:r>
      <w:r w:rsidRPr="00564092">
        <w:rPr>
          <w:rFonts w:ascii="Times New Roman" w:hAnsi="Times New Roman" w:cs="Times New Roman"/>
          <w:sz w:val="20"/>
          <w:szCs w:val="20"/>
        </w:rPr>
        <w:t xml:space="preserve"> 1948, p. 161.</w:t>
      </w:r>
    </w:p>
  </w:endnote>
  <w:endnote w:id="2">
    <w:p w14:paraId="3C314B3F" w14:textId="2EC47BDE" w:rsidR="00D107E4" w:rsidRPr="00564092" w:rsidRDefault="00D107E4" w:rsidP="0062075A">
      <w:pPr>
        <w:pStyle w:val="Testonotadichiusura"/>
        <w:jc w:val="both"/>
        <w:rPr>
          <w:rFonts w:ascii="Times New Roman" w:hAnsi="Times New Roman" w:cs="Times New Roman"/>
          <w:sz w:val="20"/>
          <w:szCs w:val="20"/>
        </w:rPr>
      </w:pPr>
      <w:r w:rsidRPr="00564092">
        <w:rPr>
          <w:rStyle w:val="Rimandonotadichiusura"/>
          <w:rFonts w:ascii="Times New Roman" w:hAnsi="Times New Roman" w:cs="Times New Roman"/>
          <w:sz w:val="20"/>
          <w:szCs w:val="20"/>
        </w:rPr>
        <w:endnoteRef/>
      </w:r>
      <w:r w:rsidRPr="00564092">
        <w:rPr>
          <w:rFonts w:ascii="Times New Roman" w:hAnsi="Times New Roman" w:cs="Times New Roman"/>
          <w:sz w:val="20"/>
          <w:szCs w:val="20"/>
        </w:rPr>
        <w:t xml:space="preserve"> </w:t>
      </w:r>
      <w:r>
        <w:rPr>
          <w:rFonts w:ascii="Times New Roman" w:hAnsi="Times New Roman" w:cs="Times New Roman"/>
          <w:sz w:val="20"/>
          <w:szCs w:val="20"/>
        </w:rPr>
        <w:t xml:space="preserve">Si tratta della prima attestazione documentaria della esistenza di saline a Venezia nell’alto medioevo. </w:t>
      </w:r>
      <w:r w:rsidR="0082415D">
        <w:rPr>
          <w:rFonts w:ascii="Times New Roman" w:hAnsi="Times New Roman" w:cs="Times New Roman"/>
          <w:sz w:val="20"/>
          <w:szCs w:val="20"/>
        </w:rPr>
        <w:t>C</w:t>
      </w:r>
      <w:r>
        <w:rPr>
          <w:rFonts w:ascii="Times New Roman" w:hAnsi="Times New Roman" w:cs="Times New Roman"/>
          <w:sz w:val="20"/>
          <w:szCs w:val="20"/>
        </w:rPr>
        <w:t>’è poi l’attestazione d</w:t>
      </w:r>
      <w:r w:rsidR="0082415D">
        <w:rPr>
          <w:rFonts w:ascii="Times New Roman" w:hAnsi="Times New Roman" w:cs="Times New Roman"/>
          <w:sz w:val="20"/>
          <w:szCs w:val="20"/>
        </w:rPr>
        <w:t>i saline nella località Fogolana</w:t>
      </w:r>
      <w:r>
        <w:rPr>
          <w:rFonts w:ascii="Times New Roman" w:hAnsi="Times New Roman" w:cs="Times New Roman"/>
          <w:sz w:val="20"/>
          <w:szCs w:val="20"/>
        </w:rPr>
        <w:t xml:space="preserve"> a nord di Chioggia di proprietà della famiglia ducale dei Candiano (documento </w:t>
      </w:r>
      <w:r w:rsidRPr="00D107E4">
        <w:rPr>
          <w:rFonts w:ascii="Times New Roman" w:hAnsi="Times New Roman" w:cs="Times New Roman"/>
          <w:sz w:val="20"/>
          <w:szCs w:val="20"/>
          <w:u w:val="single"/>
        </w:rPr>
        <w:t>Venezia 26</w:t>
      </w:r>
      <w:r>
        <w:rPr>
          <w:rFonts w:ascii="Times New Roman" w:hAnsi="Times New Roman" w:cs="Times New Roman"/>
          <w:sz w:val="20"/>
          <w:szCs w:val="20"/>
        </w:rPr>
        <w:t xml:space="preserve">) e </w:t>
      </w:r>
      <w:r w:rsidR="00807931">
        <w:rPr>
          <w:rFonts w:ascii="Times New Roman" w:hAnsi="Times New Roman" w:cs="Times New Roman"/>
          <w:sz w:val="20"/>
          <w:szCs w:val="20"/>
        </w:rPr>
        <w:t>quella</w:t>
      </w:r>
      <w:r>
        <w:rPr>
          <w:rFonts w:ascii="Times New Roman" w:hAnsi="Times New Roman" w:cs="Times New Roman"/>
          <w:sz w:val="20"/>
          <w:szCs w:val="20"/>
        </w:rPr>
        <w:t xml:space="preserve"> di cinque saline nelle proprietà del monastero di San Michele Arcangelo di Brondolo sempre nell’area di Chioggia (documento </w:t>
      </w:r>
      <w:r w:rsidRPr="00FE2BF9">
        <w:rPr>
          <w:rFonts w:ascii="Times New Roman" w:hAnsi="Times New Roman" w:cs="Times New Roman"/>
          <w:sz w:val="20"/>
          <w:szCs w:val="20"/>
          <w:u w:val="single"/>
        </w:rPr>
        <w:t>Venezia 2</w:t>
      </w:r>
      <w:r w:rsidR="00102061">
        <w:rPr>
          <w:rFonts w:ascii="Times New Roman" w:hAnsi="Times New Roman" w:cs="Times New Roman"/>
          <w:sz w:val="20"/>
          <w:szCs w:val="20"/>
          <w:u w:val="single"/>
        </w:rPr>
        <w:t>9</w:t>
      </w:r>
      <w:r>
        <w:rPr>
          <w:rFonts w:ascii="Times New Roman" w:hAnsi="Times New Roman" w:cs="Times New Roman"/>
          <w:sz w:val="20"/>
          <w:szCs w:val="20"/>
        </w:rPr>
        <w:t xml:space="preserve">). Intorno al mille poi due patti commerciali hanno per oggetto, tra le altre cose, il commercio del sale. Essi sono il patto tra Venezia e Treviso del 1000 (documento </w:t>
      </w:r>
      <w:r w:rsidRPr="00977DD8">
        <w:rPr>
          <w:rFonts w:ascii="Times New Roman" w:hAnsi="Times New Roman" w:cs="Times New Roman"/>
          <w:sz w:val="20"/>
          <w:szCs w:val="20"/>
          <w:u w:val="single"/>
        </w:rPr>
        <w:t>Venezia 36</w:t>
      </w:r>
      <w:r>
        <w:rPr>
          <w:rFonts w:ascii="Times New Roman" w:hAnsi="Times New Roman" w:cs="Times New Roman"/>
          <w:sz w:val="20"/>
          <w:szCs w:val="20"/>
        </w:rPr>
        <w:t>) e il patto tra Venezia e Ceneda del</w:t>
      </w:r>
      <w:r w:rsidR="00807931">
        <w:rPr>
          <w:rFonts w:ascii="Times New Roman" w:hAnsi="Times New Roman" w:cs="Times New Roman"/>
          <w:sz w:val="20"/>
          <w:szCs w:val="20"/>
        </w:rPr>
        <w:t xml:space="preserve"> 1001 luglio (CE II.90 e CDV I.3). Il fondamento D</w:t>
      </w:r>
      <w:r>
        <w:rPr>
          <w:rFonts w:ascii="Times New Roman" w:hAnsi="Times New Roman" w:cs="Times New Roman"/>
          <w:sz w:val="20"/>
          <w:szCs w:val="20"/>
        </w:rPr>
        <w:t xml:space="preserve">e Arcones di proprietà del palazzo non sarà più attestato nella documentazione successiva. Si ha tuttavia notizia nell’XI secolo di altri fondamenti di proprietà ducale, come il fondamento Valerio e il fondamento Laguna. Si veda </w:t>
      </w:r>
      <w:r w:rsidRPr="00AE376F">
        <w:rPr>
          <w:rFonts w:ascii="Times New Roman" w:hAnsi="Times New Roman" w:cs="Times New Roman"/>
          <w:smallCaps/>
          <w:sz w:val="20"/>
          <w:szCs w:val="20"/>
        </w:rPr>
        <w:t>Hocquet</w:t>
      </w:r>
      <w:r>
        <w:rPr>
          <w:rFonts w:ascii="Times New Roman" w:hAnsi="Times New Roman" w:cs="Times New Roman"/>
          <w:sz w:val="20"/>
          <w:szCs w:val="20"/>
        </w:rPr>
        <w:t xml:space="preserve"> 1992, p. 528.</w:t>
      </w:r>
    </w:p>
  </w:endnote>
  <w:endnote w:id="3">
    <w:p w14:paraId="09068289" w14:textId="6776C3CB" w:rsidR="00D107E4" w:rsidRPr="0062075A" w:rsidRDefault="00D107E4" w:rsidP="0062075A">
      <w:pPr>
        <w:pStyle w:val="Testonotadichiusura"/>
        <w:jc w:val="both"/>
        <w:rPr>
          <w:rFonts w:ascii="Times New Roman" w:hAnsi="Times New Roman" w:cs="Times New Roman"/>
          <w:sz w:val="20"/>
          <w:szCs w:val="20"/>
        </w:rPr>
      </w:pPr>
      <w:r w:rsidRPr="00FE2BF9">
        <w:rPr>
          <w:rStyle w:val="Rimandonotadichiusura"/>
          <w:rFonts w:ascii="Times New Roman" w:hAnsi="Times New Roman" w:cs="Times New Roman"/>
          <w:sz w:val="20"/>
          <w:szCs w:val="20"/>
        </w:rPr>
        <w:endnoteRef/>
      </w:r>
      <w:r w:rsidRPr="00FE2BF9">
        <w:rPr>
          <w:rFonts w:ascii="Times New Roman" w:hAnsi="Times New Roman" w:cs="Times New Roman"/>
          <w:sz w:val="20"/>
          <w:szCs w:val="20"/>
        </w:rPr>
        <w:t xml:space="preserve"> La costruzione di fondamenti o bacini delle saline era un lavoro collettivo affidato a co</w:t>
      </w:r>
      <w:r w:rsidR="0082415D">
        <w:rPr>
          <w:rFonts w:ascii="Times New Roman" w:hAnsi="Times New Roman" w:cs="Times New Roman"/>
          <w:sz w:val="20"/>
          <w:szCs w:val="20"/>
        </w:rPr>
        <w:t xml:space="preserve">mpagnie di consorti o associati, </w:t>
      </w:r>
      <w:r>
        <w:rPr>
          <w:rFonts w:ascii="Times New Roman" w:hAnsi="Times New Roman" w:cs="Times New Roman"/>
          <w:sz w:val="20"/>
          <w:szCs w:val="20"/>
        </w:rPr>
        <w:t xml:space="preserve">i quali in cambio della loro opera ricevevano individualmente in concessione delle saline. Si veda </w:t>
      </w:r>
      <w:r w:rsidRPr="00AE376F">
        <w:rPr>
          <w:rFonts w:ascii="Times New Roman" w:hAnsi="Times New Roman" w:cs="Times New Roman"/>
          <w:smallCaps/>
          <w:sz w:val="20"/>
          <w:szCs w:val="20"/>
        </w:rPr>
        <w:t>Hocquet</w:t>
      </w:r>
      <w:r>
        <w:rPr>
          <w:rFonts w:ascii="Times New Roman" w:hAnsi="Times New Roman" w:cs="Times New Roman"/>
          <w:sz w:val="20"/>
          <w:szCs w:val="20"/>
        </w:rPr>
        <w:t xml:space="preserve"> 1992, pp. 524 e 528. </w:t>
      </w:r>
    </w:p>
  </w:endnote>
  <w:endnote w:id="4">
    <w:p w14:paraId="26F6D5A8" w14:textId="5231DFE8" w:rsidR="00D107E4" w:rsidRPr="00564092" w:rsidRDefault="00D107E4" w:rsidP="00564092">
      <w:pPr>
        <w:pStyle w:val="Testonotadichiusura"/>
        <w:jc w:val="both"/>
        <w:rPr>
          <w:rFonts w:ascii="Times New Roman" w:hAnsi="Times New Roman" w:cs="Times New Roman"/>
          <w:sz w:val="20"/>
          <w:szCs w:val="20"/>
        </w:rPr>
      </w:pPr>
      <w:r w:rsidRPr="00564092">
        <w:rPr>
          <w:rStyle w:val="Rimandonotadichiusura"/>
          <w:rFonts w:ascii="Times New Roman" w:hAnsi="Times New Roman" w:cs="Times New Roman"/>
          <w:sz w:val="20"/>
          <w:szCs w:val="20"/>
        </w:rPr>
        <w:endnoteRef/>
      </w:r>
      <w:r w:rsidR="0082415D">
        <w:rPr>
          <w:rFonts w:ascii="Times New Roman" w:hAnsi="Times New Roman" w:cs="Times New Roman"/>
          <w:sz w:val="20"/>
          <w:szCs w:val="20"/>
        </w:rPr>
        <w:t xml:space="preserve"> Su Pietro III Candiano</w:t>
      </w:r>
      <w:r>
        <w:rPr>
          <w:rFonts w:ascii="Times New Roman" w:hAnsi="Times New Roman" w:cs="Times New Roman"/>
          <w:sz w:val="20"/>
          <w:szCs w:val="20"/>
        </w:rPr>
        <w:t xml:space="preserve"> si veda </w:t>
      </w:r>
      <w:r w:rsidRPr="00C302AF">
        <w:rPr>
          <w:rFonts w:ascii="Times New Roman" w:hAnsi="Times New Roman" w:cs="Times New Roman"/>
          <w:sz w:val="20"/>
          <w:szCs w:val="20"/>
        </w:rPr>
        <w:t>documento</w:t>
      </w:r>
      <w:r w:rsidRPr="00CA7AFB">
        <w:rPr>
          <w:rFonts w:ascii="Times New Roman" w:hAnsi="Times New Roman" w:cs="Times New Roman"/>
          <w:sz w:val="20"/>
          <w:szCs w:val="20"/>
          <w:u w:val="single"/>
        </w:rPr>
        <w:t xml:space="preserve"> </w:t>
      </w:r>
      <w:r>
        <w:rPr>
          <w:rFonts w:ascii="Times New Roman" w:hAnsi="Times New Roman" w:cs="Times New Roman"/>
          <w:sz w:val="20"/>
          <w:szCs w:val="20"/>
          <w:u w:val="single"/>
        </w:rPr>
        <w:t>Venezia</w:t>
      </w:r>
      <w:r w:rsidRPr="00CA7AFB">
        <w:rPr>
          <w:rFonts w:ascii="Times New Roman" w:hAnsi="Times New Roman" w:cs="Times New Roman"/>
          <w:sz w:val="20"/>
          <w:szCs w:val="20"/>
          <w:u w:val="single"/>
        </w:rPr>
        <w:t xml:space="preserve"> 13</w:t>
      </w:r>
      <w:r>
        <w:rPr>
          <w:rFonts w:ascii="Times New Roman" w:hAnsi="Times New Roman" w:cs="Times New Roman"/>
          <w:sz w:val="20"/>
          <w:szCs w:val="20"/>
        </w:rPr>
        <w:t xml:space="preserve"> e bibliografia alla nota 2.</w:t>
      </w:r>
    </w:p>
  </w:endnote>
  <w:endnote w:id="5">
    <w:p w14:paraId="666F4567" w14:textId="12DBF4AD" w:rsidR="00D107E4" w:rsidRPr="00F25C31" w:rsidRDefault="00D107E4" w:rsidP="00F25C31">
      <w:pPr>
        <w:pStyle w:val="Testonotadichiusura"/>
        <w:jc w:val="both"/>
        <w:rPr>
          <w:rFonts w:ascii="Times New Roman" w:hAnsi="Times New Roman" w:cs="Times New Roman"/>
          <w:sz w:val="20"/>
          <w:szCs w:val="20"/>
        </w:rPr>
      </w:pPr>
      <w:r w:rsidRPr="00F25C31">
        <w:rPr>
          <w:rStyle w:val="Rimandonotadichiusura"/>
          <w:rFonts w:ascii="Times New Roman" w:hAnsi="Times New Roman" w:cs="Times New Roman"/>
          <w:sz w:val="20"/>
          <w:szCs w:val="20"/>
        </w:rPr>
        <w:endnoteRef/>
      </w:r>
      <w:r w:rsidRPr="00F25C31">
        <w:rPr>
          <w:rFonts w:ascii="Times New Roman" w:hAnsi="Times New Roman" w:cs="Times New Roman"/>
          <w:sz w:val="20"/>
          <w:szCs w:val="20"/>
        </w:rPr>
        <w:t xml:space="preserve"> </w:t>
      </w:r>
      <w:r>
        <w:rPr>
          <w:rFonts w:ascii="Times New Roman" w:hAnsi="Times New Roman" w:cs="Times New Roman"/>
          <w:sz w:val="20"/>
          <w:szCs w:val="20"/>
        </w:rPr>
        <w:t xml:space="preserve">Si tratta del futuro duca Pietro IV Candiano. Su di lui si veda documento </w:t>
      </w:r>
      <w:r w:rsidRPr="001F5A9F">
        <w:rPr>
          <w:rFonts w:ascii="Times New Roman" w:hAnsi="Times New Roman" w:cs="Times New Roman"/>
          <w:sz w:val="20"/>
          <w:szCs w:val="20"/>
          <w:u w:val="single"/>
        </w:rPr>
        <w:t>Venezia 18</w:t>
      </w:r>
      <w:r>
        <w:rPr>
          <w:rFonts w:ascii="Times New Roman" w:hAnsi="Times New Roman" w:cs="Times New Roman"/>
          <w:sz w:val="20"/>
          <w:szCs w:val="20"/>
        </w:rPr>
        <w:t xml:space="preserve"> e nota 4. Sull’associazione al</w:t>
      </w:r>
      <w:r w:rsidR="0082415D">
        <w:rPr>
          <w:rFonts w:ascii="Times New Roman" w:hAnsi="Times New Roman" w:cs="Times New Roman"/>
          <w:sz w:val="20"/>
          <w:szCs w:val="20"/>
        </w:rPr>
        <w:t>la</w:t>
      </w:r>
      <w:r>
        <w:rPr>
          <w:rFonts w:ascii="Times New Roman" w:hAnsi="Times New Roman" w:cs="Times New Roman"/>
          <w:sz w:val="20"/>
          <w:szCs w:val="20"/>
        </w:rPr>
        <w:t xml:space="preserve"> </w:t>
      </w:r>
      <w:r w:rsidR="0082415D">
        <w:rPr>
          <w:rFonts w:ascii="Times New Roman" w:hAnsi="Times New Roman" w:cs="Times New Roman"/>
          <w:sz w:val="20"/>
          <w:szCs w:val="20"/>
        </w:rPr>
        <w:t>carica ducale</w:t>
      </w:r>
      <w:r>
        <w:rPr>
          <w:rFonts w:ascii="Times New Roman" w:hAnsi="Times New Roman" w:cs="Times New Roman"/>
          <w:sz w:val="20"/>
          <w:szCs w:val="20"/>
        </w:rPr>
        <w:t xml:space="preserve"> e sulla coreggenza si veda documento </w:t>
      </w:r>
      <w:r w:rsidRPr="00630B6F">
        <w:rPr>
          <w:rFonts w:ascii="Times New Roman" w:hAnsi="Times New Roman" w:cs="Times New Roman"/>
          <w:sz w:val="20"/>
          <w:szCs w:val="20"/>
          <w:u w:val="single"/>
        </w:rPr>
        <w:t>Venezia 2</w:t>
      </w:r>
      <w:r>
        <w:rPr>
          <w:rFonts w:ascii="Times New Roman" w:hAnsi="Times New Roman" w:cs="Times New Roman"/>
          <w:sz w:val="20"/>
          <w:szCs w:val="20"/>
        </w:rPr>
        <w:t xml:space="preserve"> e nota 3.</w:t>
      </w:r>
    </w:p>
  </w:endnote>
  <w:endnote w:id="6">
    <w:p w14:paraId="7722A281" w14:textId="20155997" w:rsidR="00D107E4" w:rsidRPr="00FE2BF9" w:rsidRDefault="00D107E4" w:rsidP="00F22667">
      <w:pPr>
        <w:pStyle w:val="Testonotadichiusura"/>
        <w:jc w:val="both"/>
        <w:rPr>
          <w:rFonts w:ascii="Times New Roman" w:hAnsi="Times New Roman" w:cs="Times New Roman"/>
          <w:sz w:val="20"/>
          <w:szCs w:val="20"/>
        </w:rPr>
      </w:pPr>
      <w:r w:rsidRPr="00FE2BF9">
        <w:rPr>
          <w:rStyle w:val="Rimandonotadichiusura"/>
          <w:rFonts w:ascii="Times New Roman" w:hAnsi="Times New Roman" w:cs="Times New Roman"/>
          <w:sz w:val="20"/>
          <w:szCs w:val="20"/>
        </w:rPr>
        <w:endnoteRef/>
      </w:r>
      <w:r w:rsidRPr="00FE2BF9">
        <w:rPr>
          <w:rFonts w:ascii="Times New Roman" w:hAnsi="Times New Roman" w:cs="Times New Roman"/>
          <w:sz w:val="20"/>
          <w:szCs w:val="20"/>
        </w:rPr>
        <w:t xml:space="preserve"> </w:t>
      </w:r>
      <w:r>
        <w:rPr>
          <w:rFonts w:ascii="Times New Roman" w:hAnsi="Times New Roman" w:cs="Times New Roman"/>
          <w:sz w:val="20"/>
          <w:szCs w:val="20"/>
        </w:rPr>
        <w:t>La contiguità del</w:t>
      </w:r>
      <w:r w:rsidR="0082415D">
        <w:rPr>
          <w:rFonts w:ascii="Times New Roman" w:hAnsi="Times New Roman" w:cs="Times New Roman"/>
          <w:sz w:val="20"/>
          <w:szCs w:val="20"/>
        </w:rPr>
        <w:t>le saline date in concessione a</w:t>
      </w:r>
      <w:r>
        <w:rPr>
          <w:rFonts w:ascii="Times New Roman" w:hAnsi="Times New Roman" w:cs="Times New Roman"/>
          <w:sz w:val="20"/>
          <w:szCs w:val="20"/>
        </w:rPr>
        <w:t xml:space="preserve"> uno stesso salinaro non è casuale. L’unità di sfruttamento delle salin</w:t>
      </w:r>
      <w:r w:rsidR="00B32FE2">
        <w:rPr>
          <w:rFonts w:ascii="Times New Roman" w:hAnsi="Times New Roman" w:cs="Times New Roman"/>
          <w:sz w:val="20"/>
          <w:szCs w:val="20"/>
        </w:rPr>
        <w:t xml:space="preserve">e infatti era costituita dalla </w:t>
      </w:r>
      <w:r>
        <w:rPr>
          <w:rFonts w:ascii="Times New Roman" w:hAnsi="Times New Roman" w:cs="Times New Roman"/>
          <w:sz w:val="20"/>
          <w:szCs w:val="20"/>
        </w:rPr>
        <w:t>copp</w:t>
      </w:r>
      <w:r w:rsidR="00B32FE2">
        <w:rPr>
          <w:rFonts w:ascii="Times New Roman" w:hAnsi="Times New Roman" w:cs="Times New Roman"/>
          <w:sz w:val="20"/>
          <w:szCs w:val="20"/>
        </w:rPr>
        <w:t>ia</w:t>
      </w:r>
      <w:r>
        <w:rPr>
          <w:rFonts w:ascii="Times New Roman" w:hAnsi="Times New Roman" w:cs="Times New Roman"/>
          <w:sz w:val="20"/>
          <w:szCs w:val="20"/>
        </w:rPr>
        <w:t xml:space="preserve"> di saline. Questa prassi era dovuta a ragioni di ordine tecnico, ovvero alla </w:t>
      </w:r>
      <w:r w:rsidR="002C2A18">
        <w:rPr>
          <w:rFonts w:ascii="Times New Roman" w:hAnsi="Times New Roman" w:cs="Times New Roman"/>
          <w:sz w:val="20"/>
          <w:szCs w:val="20"/>
        </w:rPr>
        <w:t>necessi</w:t>
      </w:r>
      <w:r w:rsidR="0082415D">
        <w:rPr>
          <w:rFonts w:ascii="Times New Roman" w:hAnsi="Times New Roman" w:cs="Times New Roman"/>
          <w:sz w:val="20"/>
          <w:szCs w:val="20"/>
        </w:rPr>
        <w:t xml:space="preserve">tà di facilitare </w:t>
      </w:r>
      <w:r>
        <w:rPr>
          <w:rFonts w:ascii="Times New Roman" w:hAnsi="Times New Roman" w:cs="Times New Roman"/>
          <w:sz w:val="20"/>
          <w:szCs w:val="20"/>
        </w:rPr>
        <w:t xml:space="preserve">gli spostamenti dei concessionari fra le vasche del fondamento. Si veda </w:t>
      </w:r>
      <w:r w:rsidRPr="00AE376F">
        <w:rPr>
          <w:rFonts w:ascii="Times New Roman" w:hAnsi="Times New Roman" w:cs="Times New Roman"/>
          <w:smallCaps/>
          <w:sz w:val="20"/>
          <w:szCs w:val="20"/>
        </w:rPr>
        <w:t>Hocquet</w:t>
      </w:r>
      <w:r>
        <w:rPr>
          <w:rFonts w:ascii="Times New Roman" w:hAnsi="Times New Roman" w:cs="Times New Roman"/>
          <w:sz w:val="20"/>
          <w:szCs w:val="20"/>
        </w:rPr>
        <w:t xml:space="preserve"> 1992, p. 536.</w:t>
      </w:r>
    </w:p>
  </w:endnote>
  <w:endnote w:id="7">
    <w:p w14:paraId="68E94916" w14:textId="216ECF26" w:rsidR="00D107E4" w:rsidRPr="00161F4E" w:rsidRDefault="00D107E4" w:rsidP="00161F4E">
      <w:pPr>
        <w:pStyle w:val="Testonotadichiusura"/>
        <w:jc w:val="both"/>
        <w:rPr>
          <w:rFonts w:ascii="Times New Roman" w:hAnsi="Times New Roman" w:cs="Times New Roman"/>
          <w:sz w:val="20"/>
          <w:szCs w:val="20"/>
        </w:rPr>
      </w:pPr>
      <w:r w:rsidRPr="00161F4E">
        <w:rPr>
          <w:rStyle w:val="Rimandonotadichiusura"/>
          <w:rFonts w:ascii="Times New Roman" w:hAnsi="Times New Roman" w:cs="Times New Roman"/>
          <w:sz w:val="20"/>
          <w:szCs w:val="20"/>
        </w:rPr>
        <w:endnoteRef/>
      </w:r>
      <w:r w:rsidRPr="00161F4E">
        <w:rPr>
          <w:rFonts w:ascii="Times New Roman" w:hAnsi="Times New Roman" w:cs="Times New Roman"/>
          <w:sz w:val="20"/>
          <w:szCs w:val="20"/>
        </w:rPr>
        <w:t xml:space="preserve"> </w:t>
      </w:r>
      <w:r>
        <w:rPr>
          <w:rFonts w:ascii="Times New Roman" w:hAnsi="Times New Roman" w:cs="Times New Roman"/>
          <w:sz w:val="20"/>
          <w:szCs w:val="20"/>
        </w:rPr>
        <w:t>La concessione di saline avveniva dietro pagamento di due tipi di rendite: il censo e il quintello, l’uno in natura e versato annualmente, l’altro in denaro e versato una tantum. Il censo era pari a 1 moggio di sale ogni 10 per ciascuna salina. Nel caso di raccolta inferiore a 10 moggi</w:t>
      </w:r>
      <w:r w:rsidR="0082415D">
        <w:rPr>
          <w:rFonts w:ascii="Times New Roman" w:hAnsi="Times New Roman" w:cs="Times New Roman"/>
          <w:sz w:val="20"/>
          <w:szCs w:val="20"/>
        </w:rPr>
        <w:t>a</w:t>
      </w:r>
      <w:r>
        <w:rPr>
          <w:rFonts w:ascii="Times New Roman" w:hAnsi="Times New Roman" w:cs="Times New Roman"/>
          <w:sz w:val="20"/>
          <w:szCs w:val="20"/>
        </w:rPr>
        <w:t xml:space="preserve"> il censo era pari al raccolto di tre giornate di lavoro. Meno chiaro è il calcolo del quintello e la circostanza in cui doveva essere versato. In base alla documentazione successiva si può dedurre che venisse versato all’atto di vendita della salina a terzi. Esso equivaleva a 1/25 del ricavato. Si veda </w:t>
      </w:r>
      <w:r w:rsidRPr="00AE376F">
        <w:rPr>
          <w:rFonts w:ascii="Times New Roman" w:hAnsi="Times New Roman" w:cs="Times New Roman"/>
          <w:smallCaps/>
          <w:sz w:val="20"/>
          <w:szCs w:val="20"/>
        </w:rPr>
        <w:t>Hocquet</w:t>
      </w:r>
      <w:r>
        <w:rPr>
          <w:rFonts w:ascii="Times New Roman" w:hAnsi="Times New Roman" w:cs="Times New Roman"/>
          <w:sz w:val="20"/>
          <w:szCs w:val="20"/>
        </w:rPr>
        <w:t xml:space="preserve"> 1992, p. 540.</w:t>
      </w:r>
    </w:p>
  </w:endnote>
  <w:endnote w:id="8">
    <w:p w14:paraId="4A862F26" w14:textId="2BF0EFD2" w:rsidR="00D107E4" w:rsidRPr="00FE2BF9" w:rsidRDefault="00D107E4" w:rsidP="007B76D3">
      <w:pPr>
        <w:pStyle w:val="Testonotadichiusura"/>
        <w:jc w:val="both"/>
        <w:rPr>
          <w:rFonts w:ascii="Times New Roman" w:hAnsi="Times New Roman" w:cs="Times New Roman"/>
          <w:sz w:val="20"/>
          <w:szCs w:val="20"/>
        </w:rPr>
      </w:pPr>
      <w:r w:rsidRPr="00FE2BF9">
        <w:rPr>
          <w:rStyle w:val="Rimandonotadichiusura"/>
          <w:rFonts w:ascii="Times New Roman" w:hAnsi="Times New Roman" w:cs="Times New Roman"/>
          <w:sz w:val="20"/>
          <w:szCs w:val="20"/>
        </w:rPr>
        <w:endnoteRef/>
      </w:r>
      <w:r w:rsidRPr="00FE2BF9">
        <w:rPr>
          <w:rFonts w:ascii="Times New Roman" w:hAnsi="Times New Roman" w:cs="Times New Roman"/>
          <w:sz w:val="20"/>
          <w:szCs w:val="20"/>
        </w:rPr>
        <w:t xml:space="preserve"> </w:t>
      </w:r>
      <w:r>
        <w:rPr>
          <w:rFonts w:ascii="Times New Roman" w:hAnsi="Times New Roman" w:cs="Times New Roman"/>
          <w:sz w:val="20"/>
          <w:szCs w:val="20"/>
        </w:rPr>
        <w:t>Oltre al versamento delle rendite suddette, anche il diritto di prelazione del proprietario delle saline</w:t>
      </w:r>
      <w:r w:rsidR="0082415D">
        <w:rPr>
          <w:rFonts w:ascii="Times New Roman" w:hAnsi="Times New Roman" w:cs="Times New Roman"/>
          <w:sz w:val="20"/>
          <w:szCs w:val="20"/>
        </w:rPr>
        <w:t>,</w:t>
      </w:r>
      <w:r>
        <w:rPr>
          <w:rFonts w:ascii="Times New Roman" w:hAnsi="Times New Roman" w:cs="Times New Roman"/>
          <w:sz w:val="20"/>
          <w:szCs w:val="20"/>
        </w:rPr>
        <w:t xml:space="preserve"> in caso di cessione e alienazione di queste da parte del concessionario</w:t>
      </w:r>
      <w:r w:rsidR="0082415D">
        <w:rPr>
          <w:rFonts w:ascii="Times New Roman" w:hAnsi="Times New Roman" w:cs="Times New Roman"/>
          <w:sz w:val="20"/>
          <w:szCs w:val="20"/>
        </w:rPr>
        <w:t>,</w:t>
      </w:r>
      <w:r>
        <w:rPr>
          <w:rFonts w:ascii="Times New Roman" w:hAnsi="Times New Roman" w:cs="Times New Roman"/>
          <w:sz w:val="20"/>
          <w:szCs w:val="20"/>
        </w:rPr>
        <w:t xml:space="preserve"> è una costante del contratto di livello</w:t>
      </w:r>
      <w:r w:rsidR="00807931">
        <w:rPr>
          <w:rFonts w:ascii="Times New Roman" w:hAnsi="Times New Roman" w:cs="Times New Roman"/>
          <w:sz w:val="20"/>
          <w:szCs w:val="20"/>
        </w:rPr>
        <w:t xml:space="preserve"> di saline</w:t>
      </w:r>
      <w:r>
        <w:rPr>
          <w:rFonts w:ascii="Times New Roman" w:hAnsi="Times New Roman" w:cs="Times New Roman"/>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553C5" w14:textId="77777777" w:rsidR="00D107E4" w:rsidRDefault="00D107E4" w:rsidP="00C90D1B">
      <w:pPr>
        <w:spacing w:after="0" w:line="240" w:lineRule="auto"/>
      </w:pPr>
      <w:r>
        <w:separator/>
      </w:r>
    </w:p>
  </w:footnote>
  <w:footnote w:type="continuationSeparator" w:id="0">
    <w:p w14:paraId="0E70EF02" w14:textId="77777777" w:rsidR="00D107E4" w:rsidRDefault="00D107E4" w:rsidP="00C90D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D1B"/>
    <w:rsid w:val="00024280"/>
    <w:rsid w:val="00053169"/>
    <w:rsid w:val="00102061"/>
    <w:rsid w:val="00161F4E"/>
    <w:rsid w:val="001F5A9F"/>
    <w:rsid w:val="00245BD8"/>
    <w:rsid w:val="00286838"/>
    <w:rsid w:val="0029176D"/>
    <w:rsid w:val="002C2A18"/>
    <w:rsid w:val="00394A21"/>
    <w:rsid w:val="003D17DA"/>
    <w:rsid w:val="00545D1F"/>
    <w:rsid w:val="00564092"/>
    <w:rsid w:val="005A6820"/>
    <w:rsid w:val="005C6C6F"/>
    <w:rsid w:val="0062075A"/>
    <w:rsid w:val="00630B6F"/>
    <w:rsid w:val="006468F3"/>
    <w:rsid w:val="00684526"/>
    <w:rsid w:val="006B180F"/>
    <w:rsid w:val="006B2C84"/>
    <w:rsid w:val="006C0FE7"/>
    <w:rsid w:val="00752CA8"/>
    <w:rsid w:val="007B76D3"/>
    <w:rsid w:val="00807931"/>
    <w:rsid w:val="0082415D"/>
    <w:rsid w:val="008B7E15"/>
    <w:rsid w:val="008F4A2F"/>
    <w:rsid w:val="009473A5"/>
    <w:rsid w:val="00977DD8"/>
    <w:rsid w:val="009C2683"/>
    <w:rsid w:val="00A07D24"/>
    <w:rsid w:val="00A72E8D"/>
    <w:rsid w:val="00A8759E"/>
    <w:rsid w:val="00AE376F"/>
    <w:rsid w:val="00B32FE2"/>
    <w:rsid w:val="00B64497"/>
    <w:rsid w:val="00BA74CD"/>
    <w:rsid w:val="00C570BD"/>
    <w:rsid w:val="00C90D1B"/>
    <w:rsid w:val="00D107E4"/>
    <w:rsid w:val="00D25357"/>
    <w:rsid w:val="00D94E7C"/>
    <w:rsid w:val="00E7785A"/>
    <w:rsid w:val="00E84098"/>
    <w:rsid w:val="00EA25BA"/>
    <w:rsid w:val="00F02582"/>
    <w:rsid w:val="00F22667"/>
    <w:rsid w:val="00F25C31"/>
    <w:rsid w:val="00FE2BF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398A9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0D1B"/>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C90D1B"/>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90D1B"/>
    <w:rPr>
      <w:rFonts w:eastAsiaTheme="minorHAnsi"/>
      <w:lang w:eastAsia="en-US"/>
    </w:rPr>
  </w:style>
  <w:style w:type="character" w:styleId="Rimandonotadichiusura">
    <w:name w:val="endnote reference"/>
    <w:basedOn w:val="Caratterepredefinitoparagrafo"/>
    <w:uiPriority w:val="99"/>
    <w:unhideWhenUsed/>
    <w:rsid w:val="00C90D1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0D1B"/>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C90D1B"/>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90D1B"/>
    <w:rPr>
      <w:rFonts w:eastAsiaTheme="minorHAnsi"/>
      <w:lang w:eastAsia="en-US"/>
    </w:rPr>
  </w:style>
  <w:style w:type="character" w:styleId="Rimandonotadichiusura">
    <w:name w:val="endnote reference"/>
    <w:basedOn w:val="Caratterepredefinitoparagrafo"/>
    <w:uiPriority w:val="99"/>
    <w:unhideWhenUsed/>
    <w:rsid w:val="00C90D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3</Pages>
  <Words>774</Words>
  <Characters>4417</Characters>
  <Application>Microsoft Macintosh Word</Application>
  <DocSecurity>0</DocSecurity>
  <Lines>36</Lines>
  <Paragraphs>10</Paragraphs>
  <ScaleCrop>false</ScaleCrop>
  <Company>Università di Padova</Company>
  <LinksUpToDate>false</LinksUpToDate>
  <CharactersWithSpaces>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25</cp:revision>
  <dcterms:created xsi:type="dcterms:W3CDTF">2014-11-03T15:57:00Z</dcterms:created>
  <dcterms:modified xsi:type="dcterms:W3CDTF">2015-03-03T11:19:00Z</dcterms:modified>
</cp:coreProperties>
</file>