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AD0657" w14:textId="77777777" w:rsidR="00C302AF" w:rsidRPr="00C302AF" w:rsidRDefault="00C302AF" w:rsidP="00C302AF">
      <w:pPr>
        <w:contextualSpacing/>
        <w:jc w:val="center"/>
        <w:rPr>
          <w:rFonts w:ascii="Times New Roman" w:hAnsi="Times New Roman" w:cs="Times New Roman"/>
          <w:sz w:val="24"/>
          <w:szCs w:val="24"/>
        </w:rPr>
      </w:pPr>
      <w:r w:rsidRPr="00C302AF">
        <w:rPr>
          <w:rFonts w:ascii="Times New Roman" w:hAnsi="Times New Roman" w:cs="Times New Roman"/>
          <w:sz w:val="24"/>
          <w:szCs w:val="24"/>
        </w:rPr>
        <w:t>14</w:t>
      </w:r>
    </w:p>
    <w:p w14:paraId="41D8F45F" w14:textId="77777777" w:rsidR="00C302AF" w:rsidRPr="00C302AF" w:rsidRDefault="00C302AF" w:rsidP="00C302AF">
      <w:pPr>
        <w:contextualSpacing/>
        <w:jc w:val="center"/>
        <w:rPr>
          <w:rFonts w:ascii="Times New Roman" w:hAnsi="Times New Roman" w:cs="Times New Roman"/>
          <w:sz w:val="24"/>
          <w:szCs w:val="24"/>
        </w:rPr>
      </w:pPr>
    </w:p>
    <w:p w14:paraId="3B23C644" w14:textId="77777777" w:rsidR="00C302AF" w:rsidRPr="00C302AF" w:rsidRDefault="00C302AF" w:rsidP="00C302AF">
      <w:pPr>
        <w:contextualSpacing/>
        <w:jc w:val="center"/>
        <w:rPr>
          <w:rFonts w:ascii="Times New Roman" w:hAnsi="Times New Roman" w:cs="Times New Roman"/>
          <w:sz w:val="24"/>
          <w:szCs w:val="24"/>
        </w:rPr>
      </w:pPr>
      <w:r w:rsidRPr="00C302AF">
        <w:rPr>
          <w:rFonts w:ascii="Times New Roman" w:hAnsi="Times New Roman" w:cs="Times New Roman"/>
          <w:sz w:val="24"/>
          <w:szCs w:val="24"/>
        </w:rPr>
        <w:t>944 marzo 13, Aquileia</w:t>
      </w:r>
    </w:p>
    <w:p w14:paraId="6679EBCD" w14:textId="77777777" w:rsidR="00C302AF" w:rsidRPr="00C302AF" w:rsidRDefault="00C302AF" w:rsidP="00C302AF">
      <w:pPr>
        <w:contextualSpacing/>
        <w:jc w:val="both"/>
        <w:rPr>
          <w:rFonts w:ascii="Times New Roman" w:hAnsi="Times New Roman" w:cs="Times New Roman"/>
          <w:sz w:val="24"/>
          <w:szCs w:val="24"/>
        </w:rPr>
      </w:pPr>
    </w:p>
    <w:p w14:paraId="6E581427" w14:textId="77777777" w:rsidR="00C302AF" w:rsidRPr="00C302AF" w:rsidRDefault="00C302AF" w:rsidP="00C302AF">
      <w:pPr>
        <w:contextualSpacing/>
        <w:jc w:val="both"/>
        <w:rPr>
          <w:rFonts w:ascii="Times New Roman" w:hAnsi="Times New Roman" w:cs="Times New Roman"/>
          <w:sz w:val="24"/>
          <w:szCs w:val="24"/>
        </w:rPr>
      </w:pPr>
    </w:p>
    <w:p w14:paraId="4409FF99" w14:textId="69A9872D" w:rsidR="00C302AF" w:rsidRPr="00C302AF" w:rsidRDefault="00C302AF" w:rsidP="00C302AF">
      <w:pPr>
        <w:contextualSpacing/>
        <w:jc w:val="both"/>
        <w:rPr>
          <w:rFonts w:ascii="Times New Roman" w:hAnsi="Times New Roman" w:cs="Times New Roman"/>
          <w:sz w:val="24"/>
          <w:szCs w:val="24"/>
        </w:rPr>
      </w:pPr>
      <w:r w:rsidRPr="00C302AF">
        <w:rPr>
          <w:rFonts w:ascii="Times New Roman" w:hAnsi="Times New Roman" w:cs="Times New Roman"/>
          <w:sz w:val="24"/>
          <w:szCs w:val="24"/>
        </w:rPr>
        <w:t xml:space="preserve">Dopo che alcuni suoi uomini erano entrati in armi nella città di Grado, suscitando l’ira di </w:t>
      </w:r>
      <w:r w:rsidR="00490605">
        <w:rPr>
          <w:rFonts w:ascii="Times New Roman" w:hAnsi="Times New Roman" w:cs="Times New Roman"/>
          <w:sz w:val="24"/>
          <w:szCs w:val="24"/>
        </w:rPr>
        <w:t>Petrus</w:t>
      </w:r>
      <w:r w:rsidR="001E375B">
        <w:rPr>
          <w:rFonts w:ascii="Times New Roman" w:hAnsi="Times New Roman" w:cs="Times New Roman"/>
          <w:sz w:val="24"/>
          <w:szCs w:val="24"/>
        </w:rPr>
        <w:t xml:space="preserve"> &lt;III, Candianus</w:t>
      </w:r>
      <w:r w:rsidRPr="00C302AF">
        <w:rPr>
          <w:rFonts w:ascii="Times New Roman" w:hAnsi="Times New Roman" w:cs="Times New Roman"/>
          <w:sz w:val="24"/>
          <w:szCs w:val="24"/>
        </w:rPr>
        <w:t xml:space="preserve">&gt;, duca dei Venetici e figlio di </w:t>
      </w:r>
      <w:r w:rsidR="00490605">
        <w:rPr>
          <w:rFonts w:ascii="Times New Roman" w:hAnsi="Times New Roman" w:cs="Times New Roman"/>
          <w:sz w:val="24"/>
          <w:szCs w:val="24"/>
        </w:rPr>
        <w:t>Petrus</w:t>
      </w:r>
      <w:r w:rsidR="001E375B">
        <w:rPr>
          <w:rFonts w:ascii="Times New Roman" w:hAnsi="Times New Roman" w:cs="Times New Roman"/>
          <w:sz w:val="24"/>
          <w:szCs w:val="24"/>
        </w:rPr>
        <w:t xml:space="preserve"> &lt;II, Candianus&gt;, Lupus</w:t>
      </w:r>
      <w:r w:rsidRPr="00C302AF">
        <w:rPr>
          <w:rFonts w:ascii="Times New Roman" w:hAnsi="Times New Roman" w:cs="Times New Roman"/>
          <w:sz w:val="24"/>
          <w:szCs w:val="24"/>
        </w:rPr>
        <w:t xml:space="preserve"> &lt;II&gt;, patriarca di Aquileia, ottiene di riportare il duca alla pace e all’antica amicizia gra</w:t>
      </w:r>
      <w:r w:rsidR="00490605">
        <w:rPr>
          <w:rFonts w:ascii="Times New Roman" w:hAnsi="Times New Roman" w:cs="Times New Roman"/>
          <w:sz w:val="24"/>
          <w:szCs w:val="24"/>
        </w:rPr>
        <w:t>zie alla intercessione di Marinus</w:t>
      </w:r>
      <w:r w:rsidRPr="00C302AF">
        <w:rPr>
          <w:rFonts w:ascii="Times New Roman" w:hAnsi="Times New Roman" w:cs="Times New Roman"/>
          <w:sz w:val="24"/>
          <w:szCs w:val="24"/>
        </w:rPr>
        <w:t>, patriarca di Grado, e giura assieme ai su</w:t>
      </w:r>
      <w:r w:rsidR="00DB320C">
        <w:rPr>
          <w:rFonts w:ascii="Times New Roman" w:hAnsi="Times New Roman" w:cs="Times New Roman"/>
          <w:sz w:val="24"/>
          <w:szCs w:val="24"/>
        </w:rPr>
        <w:t>o</w:t>
      </w:r>
      <w:r w:rsidRPr="00C302AF">
        <w:rPr>
          <w:rFonts w:ascii="Times New Roman" w:hAnsi="Times New Roman" w:cs="Times New Roman"/>
          <w:sz w:val="24"/>
          <w:szCs w:val="24"/>
        </w:rPr>
        <w:t xml:space="preserve">i fedeli di non invadere mai più in futuro per nessun motivo la città o altri territori del ducato, impegnandosi inoltre ad avvertire senza indugio il duca o il patriarca di Grado nel caso in cui qualcuno avrà intenzione di farlo. </w:t>
      </w:r>
    </w:p>
    <w:p w14:paraId="4E9F6BEB" w14:textId="77777777" w:rsidR="00C302AF" w:rsidRPr="00C302AF" w:rsidRDefault="00C302AF" w:rsidP="00C302AF">
      <w:pPr>
        <w:contextualSpacing/>
        <w:jc w:val="both"/>
        <w:rPr>
          <w:rFonts w:ascii="Times New Roman" w:hAnsi="Times New Roman" w:cs="Times New Roman"/>
          <w:sz w:val="24"/>
          <w:szCs w:val="24"/>
        </w:rPr>
      </w:pPr>
    </w:p>
    <w:p w14:paraId="54FC0052" w14:textId="25194AD8" w:rsidR="00C302AF" w:rsidRPr="00C302AF" w:rsidRDefault="00C302AF" w:rsidP="00C302AF">
      <w:pPr>
        <w:contextualSpacing/>
        <w:jc w:val="both"/>
        <w:rPr>
          <w:rFonts w:ascii="Times New Roman" w:hAnsi="Times New Roman" w:cs="Times New Roman"/>
          <w:sz w:val="24"/>
          <w:szCs w:val="24"/>
        </w:rPr>
      </w:pPr>
      <w:r w:rsidRPr="00C302AF">
        <w:rPr>
          <w:rFonts w:ascii="Times New Roman" w:hAnsi="Times New Roman" w:cs="Times New Roman"/>
          <w:sz w:val="24"/>
          <w:szCs w:val="24"/>
        </w:rPr>
        <w:t xml:space="preserve">Copia semplice cartacea del principio del XVI secolo, da copia </w:t>
      </w:r>
      <w:r w:rsidR="00A16BDA">
        <w:rPr>
          <w:rFonts w:ascii="Times New Roman" w:hAnsi="Times New Roman" w:cs="Times New Roman"/>
          <w:sz w:val="24"/>
          <w:szCs w:val="24"/>
        </w:rPr>
        <w:t xml:space="preserve">semplice del XIV-XV secolo </w:t>
      </w:r>
      <w:r w:rsidRPr="00C302AF">
        <w:rPr>
          <w:rFonts w:ascii="Times New Roman" w:hAnsi="Times New Roman" w:cs="Times New Roman"/>
          <w:sz w:val="24"/>
          <w:szCs w:val="24"/>
        </w:rPr>
        <w:t>in Venezia, Archivio di Stato, Secreta,</w:t>
      </w:r>
      <w:r w:rsidR="002874B8">
        <w:rPr>
          <w:rFonts w:ascii="Times New Roman" w:hAnsi="Times New Roman" w:cs="Times New Roman"/>
          <w:sz w:val="24"/>
          <w:szCs w:val="24"/>
        </w:rPr>
        <w:t xml:space="preserve"> Codice Trevisaneo, carta 69r [C</w:t>
      </w:r>
      <w:r w:rsidRPr="00C302AF">
        <w:rPr>
          <w:rFonts w:ascii="Times New Roman" w:hAnsi="Times New Roman" w:cs="Times New Roman"/>
          <w:sz w:val="24"/>
          <w:szCs w:val="24"/>
        </w:rPr>
        <w:t>].</w:t>
      </w:r>
    </w:p>
    <w:p w14:paraId="62A51D7B" w14:textId="77777777" w:rsidR="00C302AF" w:rsidRPr="00C302AF" w:rsidRDefault="00C302AF" w:rsidP="00C302AF">
      <w:pPr>
        <w:contextualSpacing/>
        <w:jc w:val="both"/>
        <w:rPr>
          <w:rFonts w:ascii="Times New Roman" w:hAnsi="Times New Roman" w:cs="Times New Roman"/>
          <w:sz w:val="24"/>
          <w:szCs w:val="24"/>
        </w:rPr>
      </w:pPr>
    </w:p>
    <w:p w14:paraId="7368F3C3" w14:textId="33B5E105" w:rsidR="00C302AF" w:rsidRPr="00C302AF" w:rsidRDefault="00DB320C" w:rsidP="00C302AF">
      <w:pPr>
        <w:contextualSpacing/>
        <w:jc w:val="both"/>
        <w:rPr>
          <w:rFonts w:ascii="Times New Roman" w:hAnsi="Times New Roman" w:cs="Times New Roman"/>
          <w:sz w:val="24"/>
          <w:szCs w:val="24"/>
        </w:rPr>
      </w:pPr>
      <w:r>
        <w:rPr>
          <w:rFonts w:ascii="Times New Roman" w:hAnsi="Times New Roman" w:cs="Times New Roman"/>
          <w:sz w:val="24"/>
          <w:szCs w:val="24"/>
        </w:rPr>
        <w:t>CE II.</w:t>
      </w:r>
      <w:r w:rsidR="00C302AF" w:rsidRPr="00C302AF">
        <w:rPr>
          <w:rFonts w:ascii="Times New Roman" w:hAnsi="Times New Roman" w:cs="Times New Roman"/>
          <w:sz w:val="24"/>
          <w:szCs w:val="24"/>
        </w:rPr>
        <w:t>38</w:t>
      </w:r>
    </w:p>
    <w:p w14:paraId="1C5C7841" w14:textId="77777777" w:rsidR="00C302AF" w:rsidRPr="00C302AF" w:rsidRDefault="00C302AF" w:rsidP="00C302AF">
      <w:pPr>
        <w:contextualSpacing/>
        <w:rPr>
          <w:rFonts w:ascii="Times New Roman" w:hAnsi="Times New Roman" w:cs="Times New Roman"/>
          <w:sz w:val="24"/>
          <w:szCs w:val="24"/>
        </w:rPr>
      </w:pPr>
      <w:r w:rsidRPr="00C302AF">
        <w:rPr>
          <w:rFonts w:ascii="Times New Roman" w:hAnsi="Times New Roman" w:cs="Times New Roman"/>
          <w:sz w:val="24"/>
          <w:szCs w:val="24"/>
        </w:rPr>
        <w:t>Edizione: Härtel 2005.</w:t>
      </w:r>
    </w:p>
    <w:p w14:paraId="227E0532" w14:textId="77777777" w:rsidR="00C302AF" w:rsidRPr="00C302AF" w:rsidRDefault="00C302AF" w:rsidP="00C302AF">
      <w:pPr>
        <w:contextualSpacing/>
        <w:jc w:val="both"/>
        <w:rPr>
          <w:rFonts w:ascii="Times New Roman" w:hAnsi="Times New Roman" w:cs="Times New Roman"/>
          <w:sz w:val="24"/>
          <w:szCs w:val="24"/>
        </w:rPr>
      </w:pPr>
    </w:p>
    <w:p w14:paraId="579A0FC0" w14:textId="77777777" w:rsidR="00C302AF" w:rsidRPr="00C302AF" w:rsidRDefault="00C302AF" w:rsidP="00C302AF">
      <w:pPr>
        <w:contextualSpacing/>
        <w:jc w:val="both"/>
        <w:rPr>
          <w:rFonts w:ascii="Times New Roman" w:hAnsi="Times New Roman" w:cs="Times New Roman"/>
          <w:sz w:val="24"/>
          <w:szCs w:val="24"/>
        </w:rPr>
      </w:pPr>
      <w:r w:rsidRPr="00C302AF">
        <w:rPr>
          <w:rFonts w:ascii="Times New Roman" w:hAnsi="Times New Roman" w:cs="Times New Roman"/>
          <w:sz w:val="24"/>
          <w:szCs w:val="24"/>
        </w:rPr>
        <w:t>In Dei nomine. Regnante domino nostro rege Ughone anno XX et filio eius Lotherio anno XIIII, indictione secunda, mensis martii, die XIII, feliciter. Notum facimus nos Lupo patriarcha sedis Sancte Aquileiensis ecclesie omnibus hominibus nostrorum fidelium, sacerdotum seu clero et populo, quia orta fuit contentio inter nos et Veneticos pro quibusdam intervenientibus causis, deinde etiam peccatis imminentibus quidam ex nostris incontra civitatem Gradensem cum armis perrexere cupientes damna inferre. Unde dominus Petrus, Veneticorum [dux] in ira permottus, litigatio et magna discordia inter eum et nos adcrevit, et cum malum de die in diem magis accresceret, per multorum nostrorum ac eius fidelium legationes et deprecationes corrupta pace non valebamus ad statum proprium revocare.</w:t>
      </w:r>
      <w:r w:rsidRPr="00C302AF">
        <w:rPr>
          <w:rStyle w:val="Rimandonotadichiusura"/>
          <w:rFonts w:ascii="Times New Roman" w:hAnsi="Times New Roman" w:cs="Times New Roman"/>
          <w:sz w:val="24"/>
          <w:szCs w:val="24"/>
        </w:rPr>
        <w:endnoteReference w:id="1"/>
      </w:r>
      <w:r w:rsidRPr="00C302AF">
        <w:rPr>
          <w:rFonts w:ascii="Times New Roman" w:hAnsi="Times New Roman" w:cs="Times New Roman"/>
          <w:sz w:val="24"/>
          <w:szCs w:val="24"/>
        </w:rPr>
        <w:t xml:space="preserve"> Tunc demum deprecantes misimus nostrum fratrem Marinum patriarcam, ut ipse ad suum seniorem de hac re se intermitteret, ut ad pacis firmamentum nos cum suo seniore revocaret.</w:t>
      </w:r>
      <w:r w:rsidRPr="00C302AF">
        <w:rPr>
          <w:rStyle w:val="Rimandonotadichiusura"/>
          <w:rFonts w:ascii="Times New Roman" w:hAnsi="Times New Roman" w:cs="Times New Roman"/>
          <w:sz w:val="24"/>
          <w:szCs w:val="24"/>
        </w:rPr>
        <w:endnoteReference w:id="2"/>
      </w:r>
      <w:r w:rsidRPr="00C302AF">
        <w:rPr>
          <w:rFonts w:ascii="Times New Roman" w:hAnsi="Times New Roman" w:cs="Times New Roman"/>
          <w:sz w:val="24"/>
          <w:szCs w:val="24"/>
        </w:rPr>
        <w:t xml:space="preserve"> Qui et benigna mente peregit et per eius suplicationem predictus dominus Petrus dux ad pacem et ad priorem amicitiam, quam nobiscum habuit, est reversus atque secundum seriem pacti ei legem fecimus. Sed ipsa compositio per deprecationem iam dicto Marino, fratri nostro patriarche, nobis reddere iussit. Quapropter promittentes promittimus nos Lupo divino iuvamine Sancte Aquileiensis ecclesie patriarcha,</w:t>
      </w:r>
      <w:r w:rsidRPr="00C302AF">
        <w:rPr>
          <w:rStyle w:val="Rimandonotadichiusura"/>
          <w:rFonts w:ascii="Times New Roman" w:hAnsi="Times New Roman" w:cs="Times New Roman"/>
          <w:sz w:val="24"/>
          <w:szCs w:val="24"/>
        </w:rPr>
        <w:endnoteReference w:id="3"/>
      </w:r>
      <w:r w:rsidRPr="00C302AF">
        <w:rPr>
          <w:rFonts w:ascii="Times New Roman" w:hAnsi="Times New Roman" w:cs="Times New Roman"/>
          <w:sz w:val="24"/>
          <w:szCs w:val="24"/>
        </w:rPr>
        <w:t xml:space="preserve"> una cum nostris fidelibus qui subtus asscripti sunt, vobis prenominato domino Petro duci Veneticorum, filio boni Petri ducis Candiani,</w:t>
      </w:r>
      <w:r w:rsidRPr="00C302AF">
        <w:rPr>
          <w:rStyle w:val="Rimandonotadichiusura"/>
          <w:rFonts w:ascii="Times New Roman" w:hAnsi="Times New Roman" w:cs="Times New Roman"/>
          <w:sz w:val="24"/>
          <w:szCs w:val="24"/>
        </w:rPr>
        <w:endnoteReference w:id="4"/>
      </w:r>
      <w:r w:rsidRPr="00C302AF">
        <w:rPr>
          <w:rFonts w:ascii="Times New Roman" w:hAnsi="Times New Roman" w:cs="Times New Roman"/>
          <w:sz w:val="24"/>
          <w:szCs w:val="24"/>
        </w:rPr>
        <w:t xml:space="preserve"> ut a modo inantea nostris et vestris diebus, et domino Marino patriarche fratri nostro nullo tempore neque per nos neque per submissas personas incontra vestra civitate Gradense cum armis pergere non debeamus per nullum ingenium aut ocasione[m], neque in ceteris vestris finibus, quod de vestro ducatu pertinet, facere non presumamus, et si quis facere voluerit, vos domino Petro duci aut Marino patriarche fratri nostro scire faciemus absque omni tarditate.</w:t>
      </w:r>
      <w:r w:rsidRPr="00C302AF">
        <w:rPr>
          <w:rStyle w:val="Rimandonotadichiusura"/>
          <w:rFonts w:ascii="Times New Roman" w:hAnsi="Times New Roman" w:cs="Times New Roman"/>
          <w:sz w:val="24"/>
          <w:szCs w:val="24"/>
        </w:rPr>
        <w:endnoteReference w:id="5"/>
      </w:r>
      <w:r w:rsidRPr="00C302AF">
        <w:rPr>
          <w:rFonts w:ascii="Times New Roman" w:hAnsi="Times New Roman" w:cs="Times New Roman"/>
          <w:sz w:val="24"/>
          <w:szCs w:val="24"/>
        </w:rPr>
        <w:t xml:space="preserve"> Hec omnia inviolabiliter observare promittimus. Quod si non observaverimus, sicut superius legitur, tunc componere promittimus vobis domino Petro duci auro libras quinquaginta, et hec promissionis carta maneat in sua firmitate. Actum in civitate Aquileia. Ego Lupo patriarcha in hac promissione a me facta manu mea subscripsi. Ego Ingelfredus diaconus atque vicedominus manu mea subscripsi. Ego Immalbertus diaconus. Ego Claudius diaconus. Ego Vitalis archiepiscopus. Ego Bonaldus diaconus. Ego Petrus presbiter. Ego Petrus diaconus. Ego Eribertus diaconus. Ego Audo presbiter. Ego </w:t>
      </w:r>
      <w:r w:rsidRPr="00C302AF">
        <w:rPr>
          <w:rFonts w:ascii="Times New Roman" w:hAnsi="Times New Roman" w:cs="Times New Roman"/>
          <w:sz w:val="24"/>
          <w:szCs w:val="24"/>
        </w:rPr>
        <w:lastRenderedPageBreak/>
        <w:t>Modestus presbiter. Ego Giscelarius presbiter. Ego Lupo presbiter. Ego Gauspertus presbiter. Signum manus Cadoli filii Boni Grimaldi. Signum manus Ioannis filii Rodaldi. Signum manus Arpini filii Ronchansi. Signum manus Ruperti testis. Signum manus Spetamiris, filii Terdogio, et Andelongo testes. Signum manus Stabili et Ganasio testes. Ego Benedictus notarius hanc cartam promissionis rogatus scripsi et post robur testium post tradita complevi.</w:t>
      </w:r>
    </w:p>
    <w:p w14:paraId="4C5B289E" w14:textId="77777777" w:rsidR="00B64497" w:rsidRPr="00C302AF" w:rsidRDefault="00B64497">
      <w:pPr>
        <w:rPr>
          <w:rFonts w:ascii="Times New Roman" w:hAnsi="Times New Roman" w:cs="Times New Roman"/>
          <w:sz w:val="24"/>
          <w:szCs w:val="24"/>
        </w:rPr>
      </w:pPr>
    </w:p>
    <w:p w14:paraId="60321681" w14:textId="77777777" w:rsidR="00C302AF" w:rsidRPr="00C302AF" w:rsidRDefault="00C302AF">
      <w:pPr>
        <w:rPr>
          <w:rFonts w:ascii="Times New Roman" w:hAnsi="Times New Roman" w:cs="Times New Roman"/>
          <w:sz w:val="24"/>
          <w:szCs w:val="24"/>
        </w:rPr>
      </w:pPr>
    </w:p>
    <w:p w14:paraId="7C963C49" w14:textId="77777777" w:rsidR="00C302AF" w:rsidRPr="00C302AF" w:rsidRDefault="00C302AF">
      <w:pPr>
        <w:rPr>
          <w:rFonts w:ascii="Times New Roman" w:hAnsi="Times New Roman" w:cs="Times New Roman"/>
          <w:sz w:val="24"/>
          <w:szCs w:val="24"/>
        </w:rPr>
      </w:pPr>
    </w:p>
    <w:p w14:paraId="2A93AC2A" w14:textId="77777777" w:rsidR="00C302AF" w:rsidRPr="00C302AF" w:rsidRDefault="00C302AF">
      <w:pPr>
        <w:rPr>
          <w:rFonts w:ascii="Times New Roman" w:hAnsi="Times New Roman" w:cs="Times New Roman"/>
          <w:sz w:val="24"/>
          <w:szCs w:val="24"/>
        </w:rPr>
      </w:pPr>
    </w:p>
    <w:p w14:paraId="7E40939B" w14:textId="77777777" w:rsidR="00C302AF" w:rsidRPr="00C302AF" w:rsidRDefault="00C302AF">
      <w:pPr>
        <w:rPr>
          <w:rFonts w:ascii="Times New Roman" w:hAnsi="Times New Roman" w:cs="Times New Roman"/>
          <w:sz w:val="24"/>
          <w:szCs w:val="24"/>
        </w:rPr>
      </w:pPr>
    </w:p>
    <w:p w14:paraId="0E6BA509" w14:textId="77777777" w:rsidR="00C302AF" w:rsidRPr="00C302AF" w:rsidRDefault="00C302AF">
      <w:pPr>
        <w:rPr>
          <w:rFonts w:ascii="Times New Roman" w:hAnsi="Times New Roman" w:cs="Times New Roman"/>
          <w:sz w:val="24"/>
          <w:szCs w:val="24"/>
        </w:rPr>
      </w:pPr>
    </w:p>
    <w:p w14:paraId="52A70A55" w14:textId="77777777" w:rsidR="00C302AF" w:rsidRPr="00C302AF" w:rsidRDefault="00C302AF">
      <w:pPr>
        <w:rPr>
          <w:rFonts w:ascii="Times New Roman" w:hAnsi="Times New Roman" w:cs="Times New Roman"/>
          <w:sz w:val="24"/>
          <w:szCs w:val="24"/>
        </w:rPr>
      </w:pPr>
    </w:p>
    <w:p w14:paraId="6D444454" w14:textId="77777777" w:rsidR="00C302AF" w:rsidRPr="00C302AF" w:rsidRDefault="00C302AF">
      <w:pPr>
        <w:rPr>
          <w:rFonts w:ascii="Times New Roman" w:hAnsi="Times New Roman" w:cs="Times New Roman"/>
          <w:sz w:val="24"/>
          <w:szCs w:val="24"/>
        </w:rPr>
      </w:pPr>
    </w:p>
    <w:p w14:paraId="6EFE4878" w14:textId="77777777" w:rsidR="00C302AF" w:rsidRPr="00C302AF" w:rsidRDefault="00C302AF">
      <w:pPr>
        <w:rPr>
          <w:rFonts w:ascii="Times New Roman" w:hAnsi="Times New Roman" w:cs="Times New Roman"/>
          <w:sz w:val="24"/>
          <w:szCs w:val="24"/>
        </w:rPr>
      </w:pPr>
    </w:p>
    <w:p w14:paraId="2C2F0A79" w14:textId="77777777" w:rsidR="00C302AF" w:rsidRPr="00C302AF" w:rsidRDefault="00C302AF">
      <w:pPr>
        <w:rPr>
          <w:rFonts w:ascii="Times New Roman" w:hAnsi="Times New Roman" w:cs="Times New Roman"/>
          <w:sz w:val="24"/>
          <w:szCs w:val="24"/>
        </w:rPr>
      </w:pPr>
    </w:p>
    <w:p w14:paraId="23B18692" w14:textId="77777777" w:rsidR="00C302AF" w:rsidRPr="00C302AF" w:rsidRDefault="00C302AF">
      <w:pPr>
        <w:rPr>
          <w:rFonts w:ascii="Times New Roman" w:hAnsi="Times New Roman" w:cs="Times New Roman"/>
          <w:sz w:val="24"/>
          <w:szCs w:val="24"/>
        </w:rPr>
      </w:pPr>
    </w:p>
    <w:p w14:paraId="6C8454DF" w14:textId="77777777" w:rsidR="00C302AF" w:rsidRPr="00C302AF" w:rsidRDefault="00C302AF">
      <w:pPr>
        <w:rPr>
          <w:rFonts w:ascii="Times New Roman" w:hAnsi="Times New Roman" w:cs="Times New Roman"/>
          <w:sz w:val="24"/>
          <w:szCs w:val="24"/>
        </w:rPr>
      </w:pPr>
    </w:p>
    <w:p w14:paraId="2BB8D3F1" w14:textId="77777777" w:rsidR="00C302AF" w:rsidRPr="00C302AF" w:rsidRDefault="00C302AF">
      <w:pPr>
        <w:rPr>
          <w:rFonts w:ascii="Times New Roman" w:hAnsi="Times New Roman" w:cs="Times New Roman"/>
          <w:sz w:val="24"/>
          <w:szCs w:val="24"/>
        </w:rPr>
      </w:pPr>
    </w:p>
    <w:p w14:paraId="6CA791CD" w14:textId="77777777" w:rsidR="00C302AF" w:rsidRPr="00C302AF" w:rsidRDefault="00C302AF">
      <w:pPr>
        <w:rPr>
          <w:rFonts w:ascii="Times New Roman" w:hAnsi="Times New Roman" w:cs="Times New Roman"/>
          <w:sz w:val="24"/>
          <w:szCs w:val="24"/>
        </w:rPr>
      </w:pPr>
    </w:p>
    <w:p w14:paraId="739149B9" w14:textId="77777777" w:rsidR="00C302AF" w:rsidRPr="00C302AF" w:rsidRDefault="00C302AF">
      <w:pPr>
        <w:rPr>
          <w:rFonts w:ascii="Times New Roman" w:hAnsi="Times New Roman" w:cs="Times New Roman"/>
          <w:sz w:val="24"/>
          <w:szCs w:val="24"/>
        </w:rPr>
      </w:pPr>
    </w:p>
    <w:p w14:paraId="27C63FE9" w14:textId="77777777" w:rsidR="00C302AF" w:rsidRPr="00C302AF" w:rsidRDefault="00C302AF">
      <w:pPr>
        <w:rPr>
          <w:rFonts w:ascii="Times New Roman" w:hAnsi="Times New Roman" w:cs="Times New Roman"/>
          <w:sz w:val="24"/>
          <w:szCs w:val="24"/>
        </w:rPr>
      </w:pPr>
    </w:p>
    <w:p w14:paraId="7B8E914D" w14:textId="77777777" w:rsidR="00C302AF" w:rsidRPr="00C302AF" w:rsidRDefault="00C302AF">
      <w:pPr>
        <w:rPr>
          <w:rFonts w:ascii="Times New Roman" w:hAnsi="Times New Roman" w:cs="Times New Roman"/>
          <w:sz w:val="24"/>
          <w:szCs w:val="24"/>
        </w:rPr>
      </w:pPr>
    </w:p>
    <w:p w14:paraId="27693800" w14:textId="77777777" w:rsidR="00C302AF" w:rsidRDefault="00C302AF">
      <w:pPr>
        <w:rPr>
          <w:rFonts w:ascii="Times New Roman" w:hAnsi="Times New Roman" w:cs="Times New Roman"/>
          <w:sz w:val="24"/>
          <w:szCs w:val="24"/>
        </w:rPr>
      </w:pPr>
    </w:p>
    <w:p w14:paraId="0A9629C0" w14:textId="77777777" w:rsidR="00C302AF" w:rsidRDefault="00C302AF">
      <w:pPr>
        <w:rPr>
          <w:rFonts w:ascii="Times New Roman" w:hAnsi="Times New Roman" w:cs="Times New Roman"/>
          <w:sz w:val="24"/>
          <w:szCs w:val="24"/>
        </w:rPr>
      </w:pPr>
    </w:p>
    <w:p w14:paraId="3DCC64BF" w14:textId="77777777" w:rsidR="00C302AF" w:rsidRDefault="00C302AF">
      <w:pPr>
        <w:rPr>
          <w:rFonts w:ascii="Times New Roman" w:hAnsi="Times New Roman" w:cs="Times New Roman"/>
          <w:sz w:val="24"/>
          <w:szCs w:val="24"/>
        </w:rPr>
      </w:pPr>
    </w:p>
    <w:p w14:paraId="6541BD7D" w14:textId="77777777" w:rsidR="00C302AF" w:rsidRDefault="00C302AF">
      <w:pPr>
        <w:rPr>
          <w:rFonts w:ascii="Times New Roman" w:hAnsi="Times New Roman" w:cs="Times New Roman"/>
          <w:sz w:val="24"/>
          <w:szCs w:val="24"/>
        </w:rPr>
      </w:pPr>
    </w:p>
    <w:p w14:paraId="260F56E7" w14:textId="77777777" w:rsidR="00C302AF" w:rsidRDefault="00C302AF">
      <w:pPr>
        <w:rPr>
          <w:rFonts w:ascii="Times New Roman" w:hAnsi="Times New Roman" w:cs="Times New Roman"/>
          <w:sz w:val="24"/>
          <w:szCs w:val="24"/>
        </w:rPr>
      </w:pPr>
    </w:p>
    <w:p w14:paraId="3585A460" w14:textId="77777777" w:rsidR="00C302AF" w:rsidRDefault="00C302AF">
      <w:pPr>
        <w:rPr>
          <w:rFonts w:ascii="Times New Roman" w:hAnsi="Times New Roman" w:cs="Times New Roman"/>
          <w:sz w:val="24"/>
          <w:szCs w:val="24"/>
        </w:rPr>
      </w:pPr>
    </w:p>
    <w:p w14:paraId="62FFC326" w14:textId="77777777" w:rsidR="00C302AF" w:rsidRDefault="00C302AF">
      <w:pPr>
        <w:rPr>
          <w:rFonts w:ascii="Times New Roman" w:hAnsi="Times New Roman" w:cs="Times New Roman"/>
          <w:sz w:val="24"/>
          <w:szCs w:val="24"/>
        </w:rPr>
      </w:pPr>
    </w:p>
    <w:p w14:paraId="08EE8590" w14:textId="77777777" w:rsidR="00C302AF" w:rsidRDefault="00C302AF">
      <w:pPr>
        <w:rPr>
          <w:rFonts w:ascii="Times New Roman" w:hAnsi="Times New Roman" w:cs="Times New Roman"/>
          <w:sz w:val="24"/>
          <w:szCs w:val="24"/>
        </w:rPr>
      </w:pPr>
    </w:p>
    <w:p w14:paraId="4186A959" w14:textId="77777777" w:rsidR="00C302AF" w:rsidRPr="00C302AF" w:rsidRDefault="00C302AF">
      <w:pPr>
        <w:rPr>
          <w:rFonts w:ascii="Times New Roman" w:hAnsi="Times New Roman" w:cs="Times New Roman"/>
          <w:sz w:val="24"/>
          <w:szCs w:val="24"/>
        </w:rPr>
      </w:pPr>
      <w:r w:rsidRPr="00C302AF">
        <w:rPr>
          <w:rFonts w:ascii="Times New Roman" w:hAnsi="Times New Roman" w:cs="Times New Roman"/>
          <w:sz w:val="24"/>
          <w:szCs w:val="24"/>
        </w:rPr>
        <w:t>NOTE STORICHE</w:t>
      </w:r>
    </w:p>
    <w:sectPr w:rsidR="00C302AF" w:rsidRPr="00C302AF" w:rsidSect="005C6C6F">
      <w:endnotePr>
        <w:numFmt w:val="decimal"/>
      </w:endnotePr>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BF8257" w14:textId="77777777" w:rsidR="005F0C46" w:rsidRDefault="005F0C46" w:rsidP="00C302AF">
      <w:pPr>
        <w:spacing w:after="0" w:line="240" w:lineRule="auto"/>
      </w:pPr>
      <w:r>
        <w:separator/>
      </w:r>
    </w:p>
  </w:endnote>
  <w:endnote w:type="continuationSeparator" w:id="0">
    <w:p w14:paraId="4EAC33DB" w14:textId="77777777" w:rsidR="005F0C46" w:rsidRDefault="005F0C46" w:rsidP="00C302AF">
      <w:pPr>
        <w:spacing w:after="0" w:line="240" w:lineRule="auto"/>
      </w:pPr>
      <w:r>
        <w:continuationSeparator/>
      </w:r>
    </w:p>
  </w:endnote>
  <w:endnote w:id="1">
    <w:p w14:paraId="2C6B7CA9" w14:textId="1A0D9F41" w:rsidR="005F0C46" w:rsidRPr="00B26FBE" w:rsidRDefault="005F0C46" w:rsidP="00C302AF">
      <w:pPr>
        <w:pStyle w:val="Testonotadichiusura"/>
        <w:jc w:val="both"/>
        <w:rPr>
          <w:rFonts w:ascii="Times New Roman" w:hAnsi="Times New Roman" w:cs="Times New Roman"/>
          <w:sz w:val="20"/>
          <w:szCs w:val="20"/>
        </w:rPr>
      </w:pPr>
      <w:r w:rsidRPr="00B26FBE">
        <w:rPr>
          <w:rStyle w:val="Rimandonotadichiusura"/>
          <w:rFonts w:ascii="Times New Roman" w:hAnsi="Times New Roman" w:cs="Times New Roman"/>
          <w:sz w:val="20"/>
          <w:szCs w:val="20"/>
        </w:rPr>
        <w:endnoteRef/>
      </w:r>
      <w:r w:rsidRPr="00B26FBE">
        <w:rPr>
          <w:rFonts w:ascii="Times New Roman" w:hAnsi="Times New Roman" w:cs="Times New Roman"/>
          <w:sz w:val="20"/>
          <w:szCs w:val="20"/>
        </w:rPr>
        <w:t xml:space="preserve"> </w:t>
      </w:r>
      <w:r>
        <w:rPr>
          <w:rFonts w:ascii="Times New Roman" w:hAnsi="Times New Roman" w:cs="Times New Roman"/>
          <w:sz w:val="20"/>
          <w:szCs w:val="20"/>
        </w:rPr>
        <w:t>Come nel precedente patto tra Aquileia e Venezia dell’880</w:t>
      </w:r>
      <w:r w:rsidR="002874B8">
        <w:rPr>
          <w:rFonts w:ascii="Times New Roman" w:hAnsi="Times New Roman" w:cs="Times New Roman"/>
          <w:sz w:val="20"/>
          <w:szCs w:val="20"/>
        </w:rPr>
        <w:t xml:space="preserve"> maggio</w:t>
      </w:r>
      <w:r>
        <w:rPr>
          <w:rFonts w:ascii="Times New Roman" w:hAnsi="Times New Roman" w:cs="Times New Roman"/>
          <w:sz w:val="20"/>
          <w:szCs w:val="20"/>
        </w:rPr>
        <w:t xml:space="preserve"> (</w:t>
      </w:r>
      <w:r w:rsidRPr="00C302AF">
        <w:rPr>
          <w:rFonts w:ascii="Times New Roman" w:hAnsi="Times New Roman" w:cs="Times New Roman"/>
          <w:sz w:val="20"/>
          <w:szCs w:val="20"/>
        </w:rPr>
        <w:t xml:space="preserve">documento </w:t>
      </w:r>
      <w:r>
        <w:rPr>
          <w:rFonts w:ascii="Times New Roman" w:hAnsi="Times New Roman" w:cs="Times New Roman"/>
          <w:sz w:val="20"/>
          <w:szCs w:val="20"/>
          <w:u w:val="single"/>
        </w:rPr>
        <w:t>Venezia</w:t>
      </w:r>
      <w:r w:rsidRPr="00CA7AFB">
        <w:rPr>
          <w:rFonts w:ascii="Times New Roman" w:hAnsi="Times New Roman" w:cs="Times New Roman"/>
          <w:sz w:val="20"/>
          <w:szCs w:val="20"/>
          <w:u w:val="single"/>
        </w:rPr>
        <w:t xml:space="preserve"> 6</w:t>
      </w:r>
      <w:r>
        <w:rPr>
          <w:rFonts w:ascii="Times New Roman" w:hAnsi="Times New Roman" w:cs="Times New Roman"/>
          <w:sz w:val="20"/>
          <w:szCs w:val="20"/>
        </w:rPr>
        <w:t xml:space="preserve">), anche in questo caso l’antefatto che </w:t>
      </w:r>
      <w:r w:rsidR="002874B8">
        <w:rPr>
          <w:rFonts w:ascii="Times New Roman" w:hAnsi="Times New Roman" w:cs="Times New Roman"/>
          <w:sz w:val="20"/>
          <w:szCs w:val="20"/>
        </w:rPr>
        <w:t>porta</w:t>
      </w:r>
      <w:r>
        <w:rPr>
          <w:rFonts w:ascii="Times New Roman" w:hAnsi="Times New Roman" w:cs="Times New Roman"/>
          <w:sz w:val="20"/>
          <w:szCs w:val="20"/>
        </w:rPr>
        <w:t xml:space="preserve"> alla stipulazione di un accordo </w:t>
      </w:r>
      <w:r w:rsidR="002874B8">
        <w:rPr>
          <w:rFonts w:ascii="Times New Roman" w:hAnsi="Times New Roman" w:cs="Times New Roman"/>
          <w:sz w:val="20"/>
          <w:szCs w:val="20"/>
        </w:rPr>
        <w:t>tra le città è quello</w:t>
      </w:r>
      <w:r>
        <w:rPr>
          <w:rFonts w:ascii="Times New Roman" w:hAnsi="Times New Roman" w:cs="Times New Roman"/>
          <w:sz w:val="20"/>
          <w:szCs w:val="20"/>
        </w:rPr>
        <w:t xml:space="preserve"> </w:t>
      </w:r>
      <w:r w:rsidR="002874B8">
        <w:rPr>
          <w:rFonts w:ascii="Times New Roman" w:hAnsi="Times New Roman" w:cs="Times New Roman"/>
          <w:sz w:val="20"/>
          <w:szCs w:val="20"/>
        </w:rPr>
        <w:t>di</w:t>
      </w:r>
      <w:r>
        <w:rPr>
          <w:rFonts w:ascii="Times New Roman" w:hAnsi="Times New Roman" w:cs="Times New Roman"/>
          <w:sz w:val="20"/>
          <w:szCs w:val="20"/>
        </w:rPr>
        <w:t xml:space="preserve"> una incursione </w:t>
      </w:r>
      <w:r w:rsidR="00DB320C">
        <w:rPr>
          <w:rFonts w:ascii="Times New Roman" w:hAnsi="Times New Roman" w:cs="Times New Roman"/>
          <w:sz w:val="20"/>
          <w:szCs w:val="20"/>
        </w:rPr>
        <w:t xml:space="preserve">armata </w:t>
      </w:r>
      <w:r>
        <w:rPr>
          <w:rFonts w:ascii="Times New Roman" w:hAnsi="Times New Roman" w:cs="Times New Roman"/>
          <w:sz w:val="20"/>
          <w:szCs w:val="20"/>
        </w:rPr>
        <w:t xml:space="preserve">aquileiese nella città di Grado. Questo episodio, sebbene non sia altrimenti noto nelle fonti, è tradizionalmente interpretato come il tentativo da parte di Aquileia di </w:t>
      </w:r>
      <w:r w:rsidR="00DB320C">
        <w:rPr>
          <w:rFonts w:ascii="Times New Roman" w:hAnsi="Times New Roman" w:cs="Times New Roman"/>
          <w:sz w:val="20"/>
          <w:szCs w:val="20"/>
        </w:rPr>
        <w:t>sostituirsi alla città di Grado</w:t>
      </w:r>
      <w:r>
        <w:rPr>
          <w:rFonts w:ascii="Times New Roman" w:hAnsi="Times New Roman" w:cs="Times New Roman"/>
          <w:sz w:val="20"/>
          <w:szCs w:val="20"/>
        </w:rPr>
        <w:t xml:space="preserve"> </w:t>
      </w:r>
      <w:r w:rsidR="00DB320C">
        <w:rPr>
          <w:rFonts w:ascii="Times New Roman" w:hAnsi="Times New Roman" w:cs="Times New Roman"/>
          <w:sz w:val="20"/>
          <w:szCs w:val="20"/>
        </w:rPr>
        <w:t>nel controllo</w:t>
      </w:r>
      <w:r>
        <w:rPr>
          <w:rFonts w:ascii="Times New Roman" w:hAnsi="Times New Roman" w:cs="Times New Roman"/>
          <w:sz w:val="20"/>
          <w:szCs w:val="20"/>
        </w:rPr>
        <w:t xml:space="preserve"> della </w:t>
      </w:r>
      <w:r w:rsidR="00DB320C">
        <w:rPr>
          <w:rFonts w:ascii="Times New Roman" w:hAnsi="Times New Roman" w:cs="Times New Roman"/>
          <w:sz w:val="20"/>
          <w:szCs w:val="20"/>
        </w:rPr>
        <w:t>foce del Natissa</w:t>
      </w:r>
      <w:r>
        <w:rPr>
          <w:rFonts w:ascii="Times New Roman" w:hAnsi="Times New Roman" w:cs="Times New Roman"/>
          <w:sz w:val="20"/>
          <w:szCs w:val="20"/>
        </w:rPr>
        <w:t xml:space="preserve">. </w:t>
      </w:r>
      <w:r w:rsidRPr="00B8046E">
        <w:rPr>
          <w:rFonts w:ascii="Times New Roman" w:hAnsi="Times New Roman" w:cs="Times New Roman"/>
          <w:smallCaps/>
          <w:sz w:val="20"/>
          <w:szCs w:val="20"/>
        </w:rPr>
        <w:t>Cessi</w:t>
      </w:r>
      <w:r>
        <w:rPr>
          <w:rFonts w:ascii="Times New Roman" w:hAnsi="Times New Roman" w:cs="Times New Roman"/>
          <w:smallCaps/>
          <w:sz w:val="20"/>
          <w:szCs w:val="20"/>
        </w:rPr>
        <w:t xml:space="preserve"> </w:t>
      </w:r>
      <w:r w:rsidR="00387E34">
        <w:rPr>
          <w:rFonts w:ascii="Times New Roman" w:hAnsi="Times New Roman" w:cs="Times New Roman"/>
          <w:sz w:val="20"/>
          <w:szCs w:val="20"/>
        </w:rPr>
        <w:t xml:space="preserve">1963, </w:t>
      </w:r>
      <w:r>
        <w:rPr>
          <w:rFonts w:ascii="Times New Roman" w:hAnsi="Times New Roman" w:cs="Times New Roman"/>
          <w:sz w:val="20"/>
          <w:szCs w:val="20"/>
        </w:rPr>
        <w:t xml:space="preserve">p. 206. Si noti tuttavia che a differenza del primo patto con Aquileia, </w:t>
      </w:r>
      <w:r w:rsidR="002874B8">
        <w:rPr>
          <w:rFonts w:ascii="Times New Roman" w:hAnsi="Times New Roman" w:cs="Times New Roman"/>
          <w:sz w:val="20"/>
          <w:szCs w:val="20"/>
        </w:rPr>
        <w:t>nel presente documento</w:t>
      </w:r>
      <w:r>
        <w:rPr>
          <w:rFonts w:ascii="Times New Roman" w:hAnsi="Times New Roman" w:cs="Times New Roman"/>
          <w:sz w:val="20"/>
          <w:szCs w:val="20"/>
        </w:rPr>
        <w:t xml:space="preserve"> non si fa cenno alcuno alla regolamentazione di rapporti </w:t>
      </w:r>
      <w:r w:rsidR="002874B8">
        <w:rPr>
          <w:rFonts w:ascii="Times New Roman" w:hAnsi="Times New Roman" w:cs="Times New Roman"/>
          <w:sz w:val="20"/>
          <w:szCs w:val="20"/>
        </w:rPr>
        <w:t xml:space="preserve">di natura </w:t>
      </w:r>
      <w:r w:rsidR="00DB320C">
        <w:rPr>
          <w:rFonts w:ascii="Times New Roman" w:hAnsi="Times New Roman" w:cs="Times New Roman"/>
          <w:sz w:val="20"/>
          <w:szCs w:val="20"/>
        </w:rPr>
        <w:t>commerciale</w:t>
      </w:r>
      <w:r>
        <w:rPr>
          <w:rFonts w:ascii="Times New Roman" w:hAnsi="Times New Roman" w:cs="Times New Roman"/>
          <w:sz w:val="20"/>
          <w:szCs w:val="20"/>
        </w:rPr>
        <w:t>. È dunque plausibile far rientrare l’episodio nel secolare e ben noto conflitto tra Aquileia e Grado</w:t>
      </w:r>
      <w:r w:rsidR="00387E34">
        <w:rPr>
          <w:rFonts w:ascii="Times New Roman" w:hAnsi="Times New Roman" w:cs="Times New Roman"/>
          <w:sz w:val="20"/>
          <w:szCs w:val="20"/>
        </w:rPr>
        <w:t xml:space="preserve">, non sopitosi nemmeno dopo il </w:t>
      </w:r>
      <w:r w:rsidR="005D2B58">
        <w:rPr>
          <w:rFonts w:ascii="Times New Roman" w:hAnsi="Times New Roman" w:cs="Times New Roman"/>
          <w:sz w:val="20"/>
          <w:szCs w:val="20"/>
        </w:rPr>
        <w:t>concilio</w:t>
      </w:r>
      <w:r w:rsidR="00387E34">
        <w:rPr>
          <w:rFonts w:ascii="Times New Roman" w:hAnsi="Times New Roman" w:cs="Times New Roman"/>
          <w:sz w:val="20"/>
          <w:szCs w:val="20"/>
        </w:rPr>
        <w:t xml:space="preserve"> di Mantova dell’827</w:t>
      </w:r>
      <w:r>
        <w:rPr>
          <w:rFonts w:ascii="Times New Roman" w:hAnsi="Times New Roman" w:cs="Times New Roman"/>
          <w:sz w:val="20"/>
          <w:szCs w:val="20"/>
        </w:rPr>
        <w:t xml:space="preserve">. </w:t>
      </w:r>
      <w:r w:rsidR="005D2B58">
        <w:rPr>
          <w:rFonts w:ascii="Times New Roman" w:hAnsi="Times New Roman" w:cs="Times New Roman"/>
          <w:sz w:val="20"/>
          <w:szCs w:val="20"/>
        </w:rPr>
        <w:t xml:space="preserve">Si veda </w:t>
      </w:r>
      <w:r w:rsidR="005D2B58" w:rsidRPr="005D2B58">
        <w:rPr>
          <w:rFonts w:ascii="Times New Roman" w:hAnsi="Times New Roman" w:cs="Times New Roman"/>
          <w:sz w:val="20"/>
          <w:szCs w:val="20"/>
          <w:u w:val="single"/>
        </w:rPr>
        <w:t>Venezia 2</w:t>
      </w:r>
      <w:r w:rsidR="005D2B58">
        <w:rPr>
          <w:rFonts w:ascii="Times New Roman" w:hAnsi="Times New Roman" w:cs="Times New Roman"/>
          <w:sz w:val="20"/>
          <w:szCs w:val="20"/>
        </w:rPr>
        <w:t xml:space="preserve"> e bibliografia alla nota 4. </w:t>
      </w:r>
    </w:p>
  </w:endnote>
  <w:endnote w:id="2">
    <w:p w14:paraId="329A3916" w14:textId="6C14DC63" w:rsidR="005F0C46" w:rsidRPr="00B26FBE" w:rsidRDefault="005F0C46" w:rsidP="00C302AF">
      <w:pPr>
        <w:pStyle w:val="Testonotadichiusura"/>
        <w:jc w:val="both"/>
        <w:rPr>
          <w:rFonts w:ascii="Times New Roman" w:hAnsi="Times New Roman" w:cs="Times New Roman"/>
          <w:sz w:val="20"/>
          <w:szCs w:val="20"/>
        </w:rPr>
      </w:pPr>
      <w:r w:rsidRPr="00B26FBE">
        <w:rPr>
          <w:rStyle w:val="Rimandonotadichiusura"/>
          <w:rFonts w:ascii="Times New Roman" w:hAnsi="Times New Roman" w:cs="Times New Roman"/>
          <w:sz w:val="20"/>
          <w:szCs w:val="20"/>
        </w:rPr>
        <w:endnoteRef/>
      </w:r>
      <w:r w:rsidRPr="00B26FBE">
        <w:rPr>
          <w:rFonts w:ascii="Times New Roman" w:hAnsi="Times New Roman" w:cs="Times New Roman"/>
          <w:sz w:val="20"/>
          <w:szCs w:val="20"/>
        </w:rPr>
        <w:t xml:space="preserve"> </w:t>
      </w:r>
      <w:r>
        <w:rPr>
          <w:rFonts w:ascii="Times New Roman" w:hAnsi="Times New Roman" w:cs="Times New Roman"/>
          <w:sz w:val="20"/>
          <w:szCs w:val="20"/>
        </w:rPr>
        <w:t>Il patriarca di Grado Marino svolse il medesimo ruolo di mediazione anche nella crisi ven</w:t>
      </w:r>
      <w:r w:rsidR="00DB320C">
        <w:rPr>
          <w:rFonts w:ascii="Times New Roman" w:hAnsi="Times New Roman" w:cs="Times New Roman"/>
          <w:sz w:val="20"/>
          <w:szCs w:val="20"/>
        </w:rPr>
        <w:t>e</w:t>
      </w:r>
      <w:r>
        <w:rPr>
          <w:rFonts w:ascii="Times New Roman" w:hAnsi="Times New Roman" w:cs="Times New Roman"/>
          <w:sz w:val="20"/>
          <w:szCs w:val="20"/>
        </w:rPr>
        <w:t>to-istriana</w:t>
      </w:r>
      <w:r w:rsidR="000F099B">
        <w:rPr>
          <w:rFonts w:ascii="Times New Roman" w:hAnsi="Times New Roman" w:cs="Times New Roman"/>
          <w:sz w:val="20"/>
          <w:szCs w:val="20"/>
        </w:rPr>
        <w:t xml:space="preserve"> degli anni 932-933</w:t>
      </w:r>
      <w:r>
        <w:rPr>
          <w:rFonts w:ascii="Times New Roman" w:hAnsi="Times New Roman" w:cs="Times New Roman"/>
          <w:sz w:val="20"/>
          <w:szCs w:val="20"/>
        </w:rPr>
        <w:t xml:space="preserve">. Si veda </w:t>
      </w:r>
      <w:r w:rsidRPr="00C302AF">
        <w:rPr>
          <w:rFonts w:ascii="Times New Roman" w:hAnsi="Times New Roman" w:cs="Times New Roman"/>
          <w:sz w:val="20"/>
          <w:szCs w:val="20"/>
        </w:rPr>
        <w:t>documento</w:t>
      </w:r>
      <w:r w:rsidRPr="00B8046E">
        <w:rPr>
          <w:rFonts w:ascii="Times New Roman" w:hAnsi="Times New Roman" w:cs="Times New Roman"/>
          <w:sz w:val="20"/>
          <w:szCs w:val="20"/>
          <w:u w:val="single"/>
        </w:rPr>
        <w:t xml:space="preserve"> </w:t>
      </w:r>
      <w:r>
        <w:rPr>
          <w:rFonts w:ascii="Times New Roman" w:hAnsi="Times New Roman" w:cs="Times New Roman"/>
          <w:sz w:val="20"/>
          <w:szCs w:val="20"/>
          <w:u w:val="single"/>
        </w:rPr>
        <w:t>Venezia</w:t>
      </w:r>
      <w:r w:rsidRPr="00B8046E">
        <w:rPr>
          <w:rFonts w:ascii="Times New Roman" w:hAnsi="Times New Roman" w:cs="Times New Roman"/>
          <w:sz w:val="20"/>
          <w:szCs w:val="20"/>
          <w:u w:val="single"/>
        </w:rPr>
        <w:t xml:space="preserve"> 11</w:t>
      </w:r>
      <w:r>
        <w:rPr>
          <w:rFonts w:ascii="Times New Roman" w:hAnsi="Times New Roman" w:cs="Times New Roman"/>
          <w:sz w:val="20"/>
          <w:szCs w:val="20"/>
          <w:u w:val="single"/>
        </w:rPr>
        <w:t>.</w:t>
      </w:r>
    </w:p>
  </w:endnote>
  <w:endnote w:id="3">
    <w:p w14:paraId="618CC4BA" w14:textId="1AE7FD5B" w:rsidR="005F0C46" w:rsidRPr="007C18CA" w:rsidRDefault="005F0C46" w:rsidP="00C302AF">
      <w:pPr>
        <w:pStyle w:val="Testonotadichiusura"/>
        <w:jc w:val="both"/>
        <w:rPr>
          <w:rFonts w:ascii="Times New Roman" w:hAnsi="Times New Roman" w:cs="Times New Roman"/>
          <w:sz w:val="20"/>
          <w:szCs w:val="20"/>
        </w:rPr>
      </w:pPr>
      <w:r w:rsidRPr="007C18CA">
        <w:rPr>
          <w:rStyle w:val="Rimandonotadichiusura"/>
          <w:rFonts w:ascii="Times New Roman" w:hAnsi="Times New Roman" w:cs="Times New Roman"/>
          <w:sz w:val="20"/>
          <w:szCs w:val="20"/>
        </w:rPr>
        <w:endnoteRef/>
      </w:r>
      <w:r w:rsidRPr="007C18CA">
        <w:rPr>
          <w:rFonts w:ascii="Times New Roman" w:hAnsi="Times New Roman" w:cs="Times New Roman"/>
          <w:sz w:val="20"/>
          <w:szCs w:val="20"/>
        </w:rPr>
        <w:t xml:space="preserve"> Questo atto, emanato dal patriarca Lupo</w:t>
      </w:r>
      <w:r>
        <w:rPr>
          <w:rFonts w:ascii="Times New Roman" w:hAnsi="Times New Roman" w:cs="Times New Roman"/>
          <w:sz w:val="20"/>
          <w:szCs w:val="20"/>
        </w:rPr>
        <w:t xml:space="preserve"> II</w:t>
      </w:r>
      <w:r w:rsidRPr="007C18CA">
        <w:rPr>
          <w:rFonts w:ascii="Times New Roman" w:hAnsi="Times New Roman" w:cs="Times New Roman"/>
          <w:sz w:val="20"/>
          <w:szCs w:val="20"/>
        </w:rPr>
        <w:t>, r</w:t>
      </w:r>
      <w:r w:rsidR="00DB320C">
        <w:rPr>
          <w:rFonts w:ascii="Times New Roman" w:hAnsi="Times New Roman" w:cs="Times New Roman"/>
          <w:sz w:val="20"/>
          <w:szCs w:val="20"/>
        </w:rPr>
        <w:t xml:space="preserve">appresenta il primo documento </w:t>
      </w:r>
      <w:r w:rsidRPr="007C18CA">
        <w:rPr>
          <w:rFonts w:ascii="Times New Roman" w:hAnsi="Times New Roman" w:cs="Times New Roman"/>
          <w:sz w:val="20"/>
          <w:szCs w:val="20"/>
        </w:rPr>
        <w:t>pervenuto</w:t>
      </w:r>
      <w:r>
        <w:rPr>
          <w:rFonts w:ascii="Times New Roman" w:hAnsi="Times New Roman" w:cs="Times New Roman"/>
          <w:sz w:val="20"/>
          <w:szCs w:val="20"/>
        </w:rPr>
        <w:t>ci</w:t>
      </w:r>
      <w:r w:rsidRPr="007C18CA">
        <w:rPr>
          <w:rFonts w:ascii="Times New Roman" w:hAnsi="Times New Roman" w:cs="Times New Roman"/>
          <w:sz w:val="20"/>
          <w:szCs w:val="20"/>
        </w:rPr>
        <w:t xml:space="preserve"> emesso da un patriarca di Aquileia</w:t>
      </w:r>
      <w:r>
        <w:rPr>
          <w:rFonts w:ascii="Times New Roman" w:hAnsi="Times New Roman" w:cs="Times New Roman"/>
          <w:sz w:val="20"/>
          <w:szCs w:val="20"/>
        </w:rPr>
        <w:t xml:space="preserve">, nonché l’ultimo patto veneto-aquileiese del periodo altomedievale. Bisogna attendere il XII secolo prima che un accordo sia di nuovo stipulato tra le due città. Si veda </w:t>
      </w:r>
      <w:r w:rsidR="009104D4">
        <w:rPr>
          <w:rFonts w:ascii="Times New Roman" w:hAnsi="Times New Roman" w:cs="Times New Roman"/>
          <w:smallCaps/>
          <w:sz w:val="20"/>
          <w:szCs w:val="20"/>
        </w:rPr>
        <w:t>H</w:t>
      </w:r>
      <w:r w:rsidR="00DB320C" w:rsidRPr="009104D4">
        <w:rPr>
          <w:rFonts w:ascii="Times New Roman" w:hAnsi="Times New Roman" w:cs="Times New Roman"/>
          <w:smallCaps/>
          <w:sz w:val="20"/>
          <w:szCs w:val="20"/>
        </w:rPr>
        <w:t>ärtel</w:t>
      </w:r>
      <w:r w:rsidR="00DB320C" w:rsidRPr="00C302AF">
        <w:rPr>
          <w:rFonts w:ascii="Times New Roman" w:hAnsi="Times New Roman" w:cs="Times New Roman"/>
        </w:rPr>
        <w:t xml:space="preserve"> </w:t>
      </w:r>
      <w:r>
        <w:rPr>
          <w:rFonts w:ascii="Times New Roman" w:hAnsi="Times New Roman" w:cs="Times New Roman"/>
          <w:sz w:val="20"/>
          <w:szCs w:val="20"/>
        </w:rPr>
        <w:t>2005, pp. 32-33.</w:t>
      </w:r>
    </w:p>
  </w:endnote>
  <w:endnote w:id="4">
    <w:p w14:paraId="7063F533" w14:textId="77777777" w:rsidR="005F0C46" w:rsidRPr="00B26FBE" w:rsidRDefault="005F0C46" w:rsidP="00C302AF">
      <w:pPr>
        <w:pStyle w:val="Testonotadichiusura"/>
        <w:jc w:val="both"/>
        <w:rPr>
          <w:rFonts w:ascii="Times New Roman" w:hAnsi="Times New Roman" w:cs="Times New Roman"/>
          <w:sz w:val="20"/>
          <w:szCs w:val="20"/>
        </w:rPr>
      </w:pPr>
      <w:r w:rsidRPr="00B26FBE">
        <w:rPr>
          <w:rStyle w:val="Rimandonotadichiusura"/>
          <w:rFonts w:ascii="Times New Roman" w:hAnsi="Times New Roman" w:cs="Times New Roman"/>
          <w:sz w:val="20"/>
          <w:szCs w:val="20"/>
        </w:rPr>
        <w:endnoteRef/>
      </w:r>
      <w:r w:rsidRPr="00B26FBE">
        <w:rPr>
          <w:rFonts w:ascii="Times New Roman" w:hAnsi="Times New Roman" w:cs="Times New Roman"/>
          <w:sz w:val="20"/>
          <w:szCs w:val="20"/>
        </w:rPr>
        <w:t xml:space="preserve"> </w:t>
      </w:r>
      <w:r>
        <w:rPr>
          <w:rFonts w:ascii="Times New Roman" w:hAnsi="Times New Roman" w:cs="Times New Roman"/>
          <w:sz w:val="20"/>
          <w:szCs w:val="20"/>
        </w:rPr>
        <w:t xml:space="preserve">Su Pietro III Candiano, si veda </w:t>
      </w:r>
      <w:r w:rsidRPr="00C302AF">
        <w:rPr>
          <w:rFonts w:ascii="Times New Roman" w:hAnsi="Times New Roman" w:cs="Times New Roman"/>
          <w:sz w:val="20"/>
          <w:szCs w:val="20"/>
        </w:rPr>
        <w:t>documento</w:t>
      </w:r>
      <w:r w:rsidRPr="00CA7AFB">
        <w:rPr>
          <w:rFonts w:ascii="Times New Roman" w:hAnsi="Times New Roman" w:cs="Times New Roman"/>
          <w:sz w:val="20"/>
          <w:szCs w:val="20"/>
          <w:u w:val="single"/>
        </w:rPr>
        <w:t xml:space="preserve"> </w:t>
      </w:r>
      <w:r>
        <w:rPr>
          <w:rFonts w:ascii="Times New Roman" w:hAnsi="Times New Roman" w:cs="Times New Roman"/>
          <w:sz w:val="20"/>
          <w:szCs w:val="20"/>
          <w:u w:val="single"/>
        </w:rPr>
        <w:t>Venezia</w:t>
      </w:r>
      <w:r w:rsidRPr="00CA7AFB">
        <w:rPr>
          <w:rFonts w:ascii="Times New Roman" w:hAnsi="Times New Roman" w:cs="Times New Roman"/>
          <w:sz w:val="20"/>
          <w:szCs w:val="20"/>
          <w:u w:val="single"/>
        </w:rPr>
        <w:t xml:space="preserve"> 13</w:t>
      </w:r>
      <w:r>
        <w:rPr>
          <w:rFonts w:ascii="Times New Roman" w:hAnsi="Times New Roman" w:cs="Times New Roman"/>
          <w:sz w:val="20"/>
          <w:szCs w:val="20"/>
        </w:rPr>
        <w:t xml:space="preserve"> e bibliografia alla nota 2.</w:t>
      </w:r>
    </w:p>
  </w:endnote>
  <w:endnote w:id="5">
    <w:p w14:paraId="45C2995E" w14:textId="4FFCA975" w:rsidR="005F0C46" w:rsidRPr="007C18CA" w:rsidRDefault="005F0C46" w:rsidP="00C302AF">
      <w:pPr>
        <w:pStyle w:val="Testonotadichiusura"/>
        <w:jc w:val="both"/>
        <w:rPr>
          <w:rFonts w:ascii="Times New Roman" w:hAnsi="Times New Roman" w:cs="Times New Roman"/>
          <w:sz w:val="20"/>
          <w:szCs w:val="20"/>
        </w:rPr>
      </w:pPr>
      <w:r w:rsidRPr="007C18CA">
        <w:rPr>
          <w:rStyle w:val="Rimandonotadichiusura"/>
          <w:rFonts w:ascii="Times New Roman" w:hAnsi="Times New Roman" w:cs="Times New Roman"/>
          <w:sz w:val="20"/>
          <w:szCs w:val="20"/>
        </w:rPr>
        <w:endnoteRef/>
      </w:r>
      <w:r w:rsidRPr="007C18CA">
        <w:rPr>
          <w:rFonts w:ascii="Times New Roman" w:hAnsi="Times New Roman" w:cs="Times New Roman"/>
          <w:sz w:val="20"/>
          <w:szCs w:val="20"/>
        </w:rPr>
        <w:t xml:space="preserve"> Una clausola simile si ritrova anche nel patto tra Venezi</w:t>
      </w:r>
      <w:r>
        <w:rPr>
          <w:rFonts w:ascii="Times New Roman" w:hAnsi="Times New Roman" w:cs="Times New Roman"/>
          <w:sz w:val="20"/>
          <w:szCs w:val="20"/>
        </w:rPr>
        <w:t xml:space="preserve">a e il marchese </w:t>
      </w:r>
      <w:r w:rsidR="00387E34">
        <w:rPr>
          <w:rFonts w:ascii="Times New Roman" w:hAnsi="Times New Roman" w:cs="Times New Roman"/>
          <w:sz w:val="20"/>
          <w:szCs w:val="20"/>
        </w:rPr>
        <w:t xml:space="preserve">del Friuli </w:t>
      </w:r>
      <w:r>
        <w:rPr>
          <w:rFonts w:ascii="Times New Roman" w:hAnsi="Times New Roman" w:cs="Times New Roman"/>
          <w:sz w:val="20"/>
          <w:szCs w:val="20"/>
        </w:rPr>
        <w:t>Winterio del 933 marzo 12</w:t>
      </w:r>
      <w:r w:rsidRPr="007C18CA">
        <w:rPr>
          <w:rFonts w:ascii="Times New Roman" w:hAnsi="Times New Roman" w:cs="Times New Roman"/>
          <w:sz w:val="20"/>
          <w:szCs w:val="20"/>
        </w:rPr>
        <w:t xml:space="preserve">. </w:t>
      </w:r>
      <w:r>
        <w:rPr>
          <w:rFonts w:ascii="Times New Roman" w:hAnsi="Times New Roman" w:cs="Times New Roman"/>
          <w:sz w:val="20"/>
          <w:szCs w:val="20"/>
        </w:rPr>
        <w:t>(</w:t>
      </w:r>
      <w:r>
        <w:rPr>
          <w:rFonts w:ascii="Times New Roman" w:hAnsi="Times New Roman" w:cs="Times New Roman"/>
          <w:sz w:val="20"/>
          <w:szCs w:val="20"/>
          <w:u w:val="single"/>
        </w:rPr>
        <w:t>Venezia</w:t>
      </w:r>
      <w:r w:rsidRPr="007C18CA">
        <w:rPr>
          <w:rFonts w:ascii="Times New Roman" w:hAnsi="Times New Roman" w:cs="Times New Roman"/>
          <w:sz w:val="20"/>
          <w:szCs w:val="20"/>
          <w:u w:val="single"/>
        </w:rPr>
        <w:t xml:space="preserve"> 11</w:t>
      </w:r>
      <w:r>
        <w:rPr>
          <w:rFonts w:ascii="Times New Roman" w:hAnsi="Times New Roman" w:cs="Times New Roman"/>
          <w:sz w:val="20"/>
          <w:szCs w:val="20"/>
        </w:rPr>
        <w:t xml:space="preserve"> e nota 7)</w:t>
      </w:r>
      <w:r w:rsidR="002874B8">
        <w:rPr>
          <w:rFonts w:ascii="Times New Roman" w:hAnsi="Times New Roman" w:cs="Times New Roman"/>
          <w:sz w:val="20"/>
          <w:szCs w:val="20"/>
        </w:rPr>
        <w:t>.</w:t>
      </w:r>
      <w:r>
        <w:rPr>
          <w:rFonts w:ascii="Times New Roman" w:hAnsi="Times New Roman" w:cs="Times New Roman"/>
          <w:sz w:val="20"/>
          <w:szCs w:val="20"/>
        </w:rPr>
        <w:t xml:space="preserve"> </w:t>
      </w:r>
      <w:r w:rsidR="00387E34">
        <w:rPr>
          <w:rFonts w:ascii="Times New Roman" w:hAnsi="Times New Roman" w:cs="Times New Roman"/>
          <w:sz w:val="20"/>
          <w:szCs w:val="20"/>
        </w:rPr>
        <w:t>C</w:t>
      </w:r>
      <w:r>
        <w:rPr>
          <w:rFonts w:ascii="Times New Roman" w:hAnsi="Times New Roman" w:cs="Times New Roman"/>
          <w:sz w:val="20"/>
          <w:szCs w:val="20"/>
        </w:rPr>
        <w:t xml:space="preserve">ome </w:t>
      </w:r>
      <w:r w:rsidR="002874B8">
        <w:rPr>
          <w:rFonts w:ascii="Times New Roman" w:hAnsi="Times New Roman" w:cs="Times New Roman"/>
          <w:sz w:val="20"/>
          <w:szCs w:val="20"/>
        </w:rPr>
        <w:t>per</w:t>
      </w:r>
      <w:r w:rsidR="00387E34">
        <w:rPr>
          <w:rFonts w:ascii="Times New Roman" w:hAnsi="Times New Roman" w:cs="Times New Roman"/>
          <w:sz w:val="20"/>
          <w:szCs w:val="20"/>
        </w:rPr>
        <w:t xml:space="preserve"> </w:t>
      </w:r>
      <w:r w:rsidR="002874B8">
        <w:rPr>
          <w:rFonts w:ascii="Times New Roman" w:hAnsi="Times New Roman" w:cs="Times New Roman"/>
          <w:sz w:val="20"/>
          <w:szCs w:val="20"/>
        </w:rPr>
        <w:t>la</w:t>
      </w:r>
      <w:r>
        <w:rPr>
          <w:rFonts w:ascii="Times New Roman" w:hAnsi="Times New Roman" w:cs="Times New Roman"/>
          <w:sz w:val="20"/>
          <w:szCs w:val="20"/>
        </w:rPr>
        <w:t xml:space="preserve"> clausola del patto di Winterio, </w:t>
      </w:r>
      <w:r w:rsidR="00387E34">
        <w:rPr>
          <w:rFonts w:ascii="Times New Roman" w:hAnsi="Times New Roman" w:cs="Times New Roman"/>
          <w:sz w:val="20"/>
          <w:szCs w:val="20"/>
        </w:rPr>
        <w:t xml:space="preserve">anche in questo </w:t>
      </w:r>
      <w:r w:rsidR="002874B8">
        <w:rPr>
          <w:rFonts w:ascii="Times New Roman" w:hAnsi="Times New Roman" w:cs="Times New Roman"/>
          <w:sz w:val="20"/>
          <w:szCs w:val="20"/>
        </w:rPr>
        <w:t xml:space="preserve">caso </w:t>
      </w:r>
      <w:r w:rsidRPr="007C18CA">
        <w:rPr>
          <w:rFonts w:ascii="Times New Roman" w:hAnsi="Times New Roman" w:cs="Times New Roman"/>
          <w:sz w:val="20"/>
          <w:szCs w:val="20"/>
        </w:rPr>
        <w:t xml:space="preserve">gli storici </w:t>
      </w:r>
      <w:r w:rsidR="00387E34">
        <w:rPr>
          <w:rFonts w:ascii="Times New Roman" w:hAnsi="Times New Roman" w:cs="Times New Roman"/>
          <w:sz w:val="20"/>
          <w:szCs w:val="20"/>
        </w:rPr>
        <w:t>sono concordi nel chiamare in causa</w:t>
      </w:r>
      <w:r w:rsidRPr="007C18CA">
        <w:rPr>
          <w:rFonts w:ascii="Times New Roman" w:hAnsi="Times New Roman" w:cs="Times New Roman"/>
          <w:sz w:val="20"/>
          <w:szCs w:val="20"/>
        </w:rPr>
        <w:t xml:space="preserve"> </w:t>
      </w:r>
      <w:r w:rsidR="00387E34">
        <w:rPr>
          <w:rFonts w:ascii="Times New Roman" w:hAnsi="Times New Roman" w:cs="Times New Roman"/>
          <w:sz w:val="20"/>
          <w:szCs w:val="20"/>
        </w:rPr>
        <w:t>la debolezza della</w:t>
      </w:r>
      <w:r>
        <w:rPr>
          <w:rFonts w:ascii="Times New Roman" w:hAnsi="Times New Roman" w:cs="Times New Roman"/>
          <w:sz w:val="20"/>
          <w:szCs w:val="20"/>
        </w:rPr>
        <w:t xml:space="preserve"> sovranità regia nell’area</w:t>
      </w:r>
      <w:r w:rsidR="00387E34">
        <w:rPr>
          <w:rFonts w:ascii="Times New Roman" w:hAnsi="Times New Roman" w:cs="Times New Roman"/>
          <w:sz w:val="20"/>
          <w:szCs w:val="20"/>
        </w:rPr>
        <w:t xml:space="preserve"> in questo periodo</w:t>
      </w:r>
      <w:r>
        <w:rPr>
          <w:rFonts w:ascii="Times New Roman" w:hAnsi="Times New Roman" w:cs="Times New Roman"/>
          <w:sz w:val="20"/>
          <w:szCs w:val="20"/>
        </w:rPr>
        <w:t xml:space="preserve">. </w:t>
      </w:r>
      <w:r w:rsidRPr="007C18CA">
        <w:rPr>
          <w:rFonts w:ascii="Times New Roman" w:hAnsi="Times New Roman" w:cs="Times New Roman"/>
          <w:sz w:val="20"/>
          <w:szCs w:val="20"/>
        </w:rPr>
        <w:t xml:space="preserve">Si veda </w:t>
      </w:r>
      <w:r w:rsidRPr="007C18CA">
        <w:rPr>
          <w:rFonts w:ascii="Times New Roman" w:hAnsi="Times New Roman" w:cs="Times New Roman"/>
          <w:smallCaps/>
          <w:sz w:val="20"/>
          <w:szCs w:val="20"/>
        </w:rPr>
        <w:t>De Vergottini</w:t>
      </w:r>
      <w:r w:rsidR="009104D4">
        <w:rPr>
          <w:rFonts w:ascii="Times New Roman" w:hAnsi="Times New Roman" w:cs="Times New Roman"/>
          <w:sz w:val="20"/>
          <w:szCs w:val="20"/>
        </w:rPr>
        <w:t xml:space="preserve"> 1964</w:t>
      </w:r>
      <w:bookmarkStart w:id="0" w:name="_GoBack"/>
      <w:bookmarkEnd w:id="0"/>
      <w:r w:rsidRPr="007C18CA">
        <w:rPr>
          <w:rFonts w:ascii="Times New Roman" w:hAnsi="Times New Roman" w:cs="Times New Roman"/>
          <w:sz w:val="20"/>
          <w:szCs w:val="20"/>
        </w:rPr>
        <w:t xml:space="preserve">, p. 115.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1B9279" w14:textId="77777777" w:rsidR="005F0C46" w:rsidRDefault="005F0C46" w:rsidP="00C302AF">
      <w:pPr>
        <w:spacing w:after="0" w:line="240" w:lineRule="auto"/>
      </w:pPr>
      <w:r>
        <w:separator/>
      </w:r>
    </w:p>
  </w:footnote>
  <w:footnote w:type="continuationSeparator" w:id="0">
    <w:p w14:paraId="048B445C" w14:textId="77777777" w:rsidR="005F0C46" w:rsidRDefault="005F0C46" w:rsidP="00C302A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efaultTabStop w:val="708"/>
  <w:hyphenationZone w:val="283"/>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02AF"/>
    <w:rsid w:val="000F099B"/>
    <w:rsid w:val="001E375B"/>
    <w:rsid w:val="002874B8"/>
    <w:rsid w:val="00387E34"/>
    <w:rsid w:val="00490605"/>
    <w:rsid w:val="004920EB"/>
    <w:rsid w:val="005C6C6F"/>
    <w:rsid w:val="005D2B58"/>
    <w:rsid w:val="005F0C46"/>
    <w:rsid w:val="009104D4"/>
    <w:rsid w:val="00A16BDA"/>
    <w:rsid w:val="00B64497"/>
    <w:rsid w:val="00C302AF"/>
    <w:rsid w:val="00DB320C"/>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DF2B29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302AF"/>
    <w:pPr>
      <w:spacing w:after="200" w:line="276" w:lineRule="auto"/>
    </w:pPr>
    <w:rPr>
      <w:rFonts w:eastAsiaTheme="minorHAnsi"/>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dichiusura">
    <w:name w:val="endnote text"/>
    <w:basedOn w:val="Normale"/>
    <w:link w:val="TestonotadichiusuraCarattere"/>
    <w:uiPriority w:val="99"/>
    <w:unhideWhenUsed/>
    <w:rsid w:val="00C302AF"/>
    <w:pPr>
      <w:spacing w:after="0" w:line="240" w:lineRule="auto"/>
    </w:pPr>
    <w:rPr>
      <w:sz w:val="24"/>
      <w:szCs w:val="24"/>
    </w:rPr>
  </w:style>
  <w:style w:type="character" w:customStyle="1" w:styleId="TestonotadichiusuraCarattere">
    <w:name w:val="Testo nota di chiusura Carattere"/>
    <w:basedOn w:val="Caratterepredefinitoparagrafo"/>
    <w:link w:val="Testonotadichiusura"/>
    <w:uiPriority w:val="99"/>
    <w:rsid w:val="00C302AF"/>
    <w:rPr>
      <w:rFonts w:eastAsiaTheme="minorHAnsi"/>
      <w:lang w:eastAsia="en-US"/>
    </w:rPr>
  </w:style>
  <w:style w:type="character" w:styleId="Rimandonotadichiusura">
    <w:name w:val="endnote reference"/>
    <w:basedOn w:val="Caratterepredefinitoparagrafo"/>
    <w:uiPriority w:val="99"/>
    <w:unhideWhenUsed/>
    <w:rsid w:val="00C302AF"/>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302AF"/>
    <w:pPr>
      <w:spacing w:after="200" w:line="276" w:lineRule="auto"/>
    </w:pPr>
    <w:rPr>
      <w:rFonts w:eastAsiaTheme="minorHAnsi"/>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dichiusura">
    <w:name w:val="endnote text"/>
    <w:basedOn w:val="Normale"/>
    <w:link w:val="TestonotadichiusuraCarattere"/>
    <w:uiPriority w:val="99"/>
    <w:unhideWhenUsed/>
    <w:rsid w:val="00C302AF"/>
    <w:pPr>
      <w:spacing w:after="0" w:line="240" w:lineRule="auto"/>
    </w:pPr>
    <w:rPr>
      <w:sz w:val="24"/>
      <w:szCs w:val="24"/>
    </w:rPr>
  </w:style>
  <w:style w:type="character" w:customStyle="1" w:styleId="TestonotadichiusuraCarattere">
    <w:name w:val="Testo nota di chiusura Carattere"/>
    <w:basedOn w:val="Caratterepredefinitoparagrafo"/>
    <w:link w:val="Testonotadichiusura"/>
    <w:uiPriority w:val="99"/>
    <w:rsid w:val="00C302AF"/>
    <w:rPr>
      <w:rFonts w:eastAsiaTheme="minorHAnsi"/>
      <w:lang w:eastAsia="en-US"/>
    </w:rPr>
  </w:style>
  <w:style w:type="character" w:styleId="Rimandonotadichiusura">
    <w:name w:val="endnote reference"/>
    <w:basedOn w:val="Caratterepredefinitoparagrafo"/>
    <w:uiPriority w:val="99"/>
    <w:unhideWhenUsed/>
    <w:rsid w:val="00C302A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3</Pages>
  <Words>573</Words>
  <Characters>3269</Characters>
  <Application>Microsoft Macintosh Word</Application>
  <DocSecurity>0</DocSecurity>
  <Lines>27</Lines>
  <Paragraphs>7</Paragraphs>
  <ScaleCrop>false</ScaleCrop>
  <Company>Università di Padova</Company>
  <LinksUpToDate>false</LinksUpToDate>
  <CharactersWithSpaces>3835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Annamaria Pazienza</dc:creator>
  <cp:keywords/>
  <dc:description/>
  <cp:lastModifiedBy>Annamaria Pazienza</cp:lastModifiedBy>
  <cp:revision>10</cp:revision>
  <dcterms:created xsi:type="dcterms:W3CDTF">2014-11-02T17:58:00Z</dcterms:created>
  <dcterms:modified xsi:type="dcterms:W3CDTF">2014-11-19T13:39:00Z</dcterms:modified>
</cp:coreProperties>
</file>