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839C3C" w14:textId="77777777" w:rsidR="0026014A" w:rsidRDefault="00E467B4" w:rsidP="00D11AD3">
      <w:pPr>
        <w:jc w:val="center"/>
      </w:pPr>
      <w:r>
        <w:t>1</w:t>
      </w:r>
      <w:r w:rsidR="00A63C8F">
        <w:t>1</w:t>
      </w:r>
      <w:bookmarkStart w:id="0" w:name="_GoBack"/>
      <w:bookmarkEnd w:id="0"/>
    </w:p>
    <w:p w14:paraId="4D0D7F24" w14:textId="77777777" w:rsidR="0026014A" w:rsidRDefault="0026014A" w:rsidP="0026014A">
      <w:pPr>
        <w:jc w:val="both"/>
      </w:pPr>
    </w:p>
    <w:p w14:paraId="19D35DA6" w14:textId="77777777" w:rsidR="0026014A" w:rsidRDefault="0026014A" w:rsidP="00D11AD3">
      <w:pPr>
        <w:jc w:val="center"/>
      </w:pPr>
      <w:r>
        <w:t>993 novembre, Verona.</w:t>
      </w:r>
    </w:p>
    <w:p w14:paraId="5CBC6D6A" w14:textId="77777777" w:rsidR="0026014A" w:rsidRDefault="0026014A" w:rsidP="00BC472D">
      <w:pPr>
        <w:jc w:val="both"/>
      </w:pPr>
    </w:p>
    <w:p w14:paraId="43BE599E" w14:textId="77777777" w:rsidR="00BC472D" w:rsidRDefault="00BC472D" w:rsidP="00BC472D">
      <w:pPr>
        <w:jc w:val="both"/>
      </w:pPr>
    </w:p>
    <w:p w14:paraId="7880E1A1" w14:textId="77777777" w:rsidR="00BC472D" w:rsidRDefault="00BC472D" w:rsidP="00BC472D">
      <w:pPr>
        <w:jc w:val="both"/>
      </w:pPr>
      <w:r>
        <w:t xml:space="preserve">Il vescovo di Verona </w:t>
      </w:r>
      <w:r w:rsidR="00BE6725">
        <w:t>Otbertus, rappresentato dal giudice Ingelbertus,</w:t>
      </w:r>
      <w:r>
        <w:t xml:space="preserve"> ottiene, nel placito presieduto dal duca di Carinzia e Verona </w:t>
      </w:r>
      <w:r w:rsidR="00BE6725">
        <w:t>Henricus</w:t>
      </w:r>
      <w:r>
        <w:t>, il riconoscimento della sua proprietà sulla corte di Riva sul lago Benaco</w:t>
      </w:r>
      <w:r w:rsidR="002A3245">
        <w:t>, in territorio trentino</w:t>
      </w:r>
      <w:r w:rsidR="00E02136">
        <w:rPr>
          <w:rStyle w:val="Rimandonotadichiusura"/>
        </w:rPr>
        <w:endnoteReference w:id="1"/>
      </w:r>
      <w:r w:rsidR="002A3245">
        <w:t>; infatti,</w:t>
      </w:r>
      <w:r>
        <w:t xml:space="preserve"> </w:t>
      </w:r>
      <w:r w:rsidR="00BE6725" w:rsidRPr="00BE6725">
        <w:t>Tedald</w:t>
      </w:r>
      <w:r w:rsidR="00BE6725">
        <w:t>us</w:t>
      </w:r>
      <w:r w:rsidR="00BE6725" w:rsidRPr="00BE6725">
        <w:t>/Teodald</w:t>
      </w:r>
      <w:r w:rsidR="00BE6725">
        <w:t>us</w:t>
      </w:r>
      <w:r w:rsidR="00BE6725" w:rsidRPr="00BE6725">
        <w:t>/Teudald</w:t>
      </w:r>
      <w:r w:rsidR="00BE6725">
        <w:t>us</w:t>
      </w:r>
      <w:r w:rsidR="00BE6725" w:rsidRPr="00BE6725">
        <w:t xml:space="preserve"> </w:t>
      </w:r>
      <w:r>
        <w:t xml:space="preserve">– che fu marchese – e Berta sua cognata, che gli contestavano tale proprietà, non si sono presentati in giudizio. </w:t>
      </w:r>
    </w:p>
    <w:p w14:paraId="035CD886" w14:textId="77777777" w:rsidR="00BE6725" w:rsidRDefault="00BE6725" w:rsidP="00BC472D">
      <w:pPr>
        <w:jc w:val="both"/>
      </w:pPr>
    </w:p>
    <w:p w14:paraId="1BEB4A0C" w14:textId="77777777" w:rsidR="0026014A" w:rsidRDefault="0026014A" w:rsidP="00BC472D">
      <w:pPr>
        <w:jc w:val="both"/>
      </w:pPr>
      <w:r>
        <w:t>Originale,</w:t>
      </w:r>
      <w:r w:rsidR="009F5E92">
        <w:t xml:space="preserve"> in Verona,</w:t>
      </w:r>
      <w:r>
        <w:t xml:space="preserve"> Archivio Capitolare, II, 4, F 6b (già A 59, I, 3) [A].</w:t>
      </w:r>
    </w:p>
    <w:p w14:paraId="2C847F22" w14:textId="77777777" w:rsidR="00542295" w:rsidRDefault="00542295" w:rsidP="00BC472D">
      <w:pPr>
        <w:jc w:val="both"/>
      </w:pPr>
    </w:p>
    <w:p w14:paraId="720E0DD8" w14:textId="77777777" w:rsidR="00542295" w:rsidRDefault="00542295" w:rsidP="00BC472D">
      <w:pPr>
        <w:jc w:val="both"/>
      </w:pPr>
      <w:r>
        <w:t>Edizione: Manaresi, 218.</w:t>
      </w:r>
    </w:p>
    <w:p w14:paraId="20361726" w14:textId="77777777" w:rsidR="0026014A" w:rsidRDefault="0026014A" w:rsidP="00BC472D">
      <w:pPr>
        <w:jc w:val="both"/>
      </w:pPr>
    </w:p>
    <w:p w14:paraId="5622D40F" w14:textId="77777777" w:rsidR="0026014A" w:rsidRDefault="0026014A" w:rsidP="00BC472D">
      <w:pPr>
        <w:jc w:val="both"/>
      </w:pPr>
      <w:r>
        <w:t xml:space="preserve">(S) Dum in Dei nomine civitate Verona in domus </w:t>
      </w:r>
      <w:r w:rsidRPr="00146D3E">
        <w:t>episcopii</w:t>
      </w:r>
      <w:r>
        <w:t xml:space="preserve"> sanctae Veronensis ecclesiaȩ, in laubia [maiore qui estat su]per flumen </w:t>
      </w:r>
      <w:r w:rsidRPr="00146D3E">
        <w:t>Adecis</w:t>
      </w:r>
      <w:r>
        <w:t xml:space="preserve"> per data licencia domni </w:t>
      </w:r>
      <w:r w:rsidRPr="00146D3E">
        <w:t>Otberti</w:t>
      </w:r>
      <w:r>
        <w:t xml:space="preserve"> episcopi</w:t>
      </w:r>
      <w:r w:rsidR="002310EA">
        <w:rPr>
          <w:rStyle w:val="Rimandonotadichiusura"/>
        </w:rPr>
        <w:endnoteReference w:id="2"/>
      </w:r>
      <w:r>
        <w:t xml:space="preserve"> ipsius episcopii in iudicio resideret domnus </w:t>
      </w:r>
      <w:r w:rsidRPr="00146D3E">
        <w:t>Henricus</w:t>
      </w:r>
      <w:r>
        <w:t xml:space="preserve"> dux [Bav]ariorum seu Karentanorum</w:t>
      </w:r>
      <w:r w:rsidR="002E5AEF">
        <w:rPr>
          <w:rStyle w:val="Rimandonotadichiusura"/>
        </w:rPr>
        <w:endnoteReference w:id="3"/>
      </w:r>
      <w:r>
        <w:t xml:space="preserve"> atque istius marchie Veronensis ad singulorum hominum iusticias faciendas hac deliberandas, res[edentibus cum] eo </w:t>
      </w:r>
      <w:r w:rsidRPr="00146D3E">
        <w:t>Rainoardus</w:t>
      </w:r>
      <w:r>
        <w:t xml:space="preserve"> episcopus sancte Tri[dentine] ecclesie, </w:t>
      </w:r>
      <w:r w:rsidRPr="00146D3E">
        <w:t>Riprando</w:t>
      </w:r>
      <w:r>
        <w:t xml:space="preserve"> comes</w:t>
      </w:r>
      <w:r w:rsidR="00AB19D5">
        <w:rPr>
          <w:rStyle w:val="Rimandonotadichiusura"/>
        </w:rPr>
        <w:endnoteReference w:id="4"/>
      </w:r>
      <w:r>
        <w:t xml:space="preserve"> istius comitatus, </w:t>
      </w:r>
      <w:r w:rsidRPr="00146D3E">
        <w:t>Raginbaldo</w:t>
      </w:r>
      <w:r w:rsidR="00625825">
        <w:rPr>
          <w:rStyle w:val="Rimandonotadichiusura"/>
        </w:rPr>
        <w:endnoteReference w:id="5"/>
      </w:r>
      <w:r>
        <w:t xml:space="preserve">, </w:t>
      </w:r>
      <w:r w:rsidRPr="00146D3E">
        <w:t>Iohannes</w:t>
      </w:r>
      <w:r>
        <w:t xml:space="preserve">, </w:t>
      </w:r>
      <w:r w:rsidRPr="00146D3E">
        <w:t>Eielrico</w:t>
      </w:r>
      <w:r>
        <w:t xml:space="preserve"> comitibus, </w:t>
      </w:r>
      <w:r w:rsidRPr="005B3054">
        <w:t>Oci</w:t>
      </w:r>
      <w:r>
        <w:t xml:space="preserve">, </w:t>
      </w:r>
      <w:r w:rsidRPr="005B3054">
        <w:t>Odelricus</w:t>
      </w:r>
      <w:r>
        <w:t xml:space="preserve">, </w:t>
      </w:r>
      <w:r w:rsidRPr="005B3054">
        <w:t>Enci</w:t>
      </w:r>
      <w:r>
        <w:t xml:space="preserve">, </w:t>
      </w:r>
      <w:r w:rsidRPr="005B3054">
        <w:t>Arpo</w:t>
      </w:r>
      <w:r>
        <w:t xml:space="preserve">, </w:t>
      </w:r>
      <w:r w:rsidRPr="005B3054">
        <w:t>Adelperto</w:t>
      </w:r>
      <w:r>
        <w:t xml:space="preserve">, </w:t>
      </w:r>
      <w:r w:rsidRPr="005B3054">
        <w:t>Celipezeli</w:t>
      </w:r>
      <w:r>
        <w:t xml:space="preserve">, </w:t>
      </w:r>
      <w:r w:rsidRPr="005B3054">
        <w:t>Edescalco</w:t>
      </w:r>
      <w:r>
        <w:t xml:space="preserve"> comitibus, </w:t>
      </w:r>
      <w:r w:rsidRPr="005B3054">
        <w:t>Teutiski</w:t>
      </w:r>
      <w:r>
        <w:t xml:space="preserve">, </w:t>
      </w:r>
      <w:r w:rsidRPr="005B3054">
        <w:t>Amelgauso</w:t>
      </w:r>
      <w:r w:rsidR="000432F6">
        <w:rPr>
          <w:rStyle w:val="Rimandonotadichiusura"/>
        </w:rPr>
        <w:endnoteReference w:id="6"/>
      </w:r>
      <w:r>
        <w:t xml:space="preserve">, </w:t>
      </w:r>
      <w:r w:rsidRPr="005B3054">
        <w:t>Vualca</w:t>
      </w:r>
      <w:r w:rsidR="00770432" w:rsidRPr="005B3054">
        <w:t>u</w:t>
      </w:r>
      <w:r w:rsidRPr="005B3054">
        <w:t>so</w:t>
      </w:r>
      <w:r w:rsidR="00A60939">
        <w:rPr>
          <w:rStyle w:val="Rimandonotadichiusura"/>
        </w:rPr>
        <w:endnoteReference w:id="7"/>
      </w:r>
      <w:r>
        <w:t xml:space="preserve">, </w:t>
      </w:r>
      <w:r w:rsidRPr="005B3054">
        <w:t>Ingelbertus</w:t>
      </w:r>
      <w:r w:rsidR="00146D3E" w:rsidRPr="005B3054">
        <w:rPr>
          <w:rStyle w:val="Rimandonotadichiusura"/>
        </w:rPr>
        <w:endnoteReference w:id="8"/>
      </w:r>
      <w:r>
        <w:t xml:space="preserve">, </w:t>
      </w:r>
      <w:r w:rsidRPr="005B3054">
        <w:t>Maginfredus</w:t>
      </w:r>
      <w:r w:rsidR="00AB19D5">
        <w:rPr>
          <w:rStyle w:val="Rimandonotadichiusura"/>
        </w:rPr>
        <w:endnoteReference w:id="9"/>
      </w:r>
      <w:r>
        <w:t xml:space="preserve">, </w:t>
      </w:r>
      <w:r w:rsidRPr="005B3054">
        <w:t>Gaufredus</w:t>
      </w:r>
      <w:r w:rsidR="002310EA">
        <w:rPr>
          <w:rStyle w:val="Rimandonotadichiusura"/>
        </w:rPr>
        <w:endnoteReference w:id="10"/>
      </w:r>
      <w:r>
        <w:t xml:space="preserve">, </w:t>
      </w:r>
      <w:r w:rsidRPr="005B3054">
        <w:t>Bonizo</w:t>
      </w:r>
      <w:r w:rsidR="00F4392B">
        <w:rPr>
          <w:rStyle w:val="Rimandonotadichiusura"/>
        </w:rPr>
        <w:endnoteReference w:id="11"/>
      </w:r>
      <w:r>
        <w:t xml:space="preserve">, </w:t>
      </w:r>
      <w:r w:rsidRPr="005B3054">
        <w:t>Audibertus</w:t>
      </w:r>
      <w:r w:rsidR="00A60939">
        <w:rPr>
          <w:rStyle w:val="Rimandonotadichiusura"/>
        </w:rPr>
        <w:endnoteReference w:id="12"/>
      </w:r>
      <w:r>
        <w:t xml:space="preserve">, </w:t>
      </w:r>
      <w:r w:rsidRPr="005B3054">
        <w:t>Riculfus</w:t>
      </w:r>
      <w:r>
        <w:t xml:space="preserve">, </w:t>
      </w:r>
      <w:r w:rsidRPr="005B3054">
        <w:t>Ambrosius</w:t>
      </w:r>
      <w:r w:rsidR="00DC0F35">
        <w:rPr>
          <w:rStyle w:val="Rimandonotadichiusura"/>
        </w:rPr>
        <w:endnoteReference w:id="13"/>
      </w:r>
      <w:r>
        <w:t xml:space="preserve">, item </w:t>
      </w:r>
      <w:r w:rsidRPr="005B3054">
        <w:t>Ambrosius</w:t>
      </w:r>
      <w:r>
        <w:t xml:space="preserve">, </w:t>
      </w:r>
      <w:r w:rsidRPr="005B3054">
        <w:t>Bevo</w:t>
      </w:r>
      <w:r w:rsidR="00EE2363">
        <w:rPr>
          <w:rStyle w:val="Rimandonotadichiusura"/>
        </w:rPr>
        <w:endnoteReference w:id="14"/>
      </w:r>
      <w:r>
        <w:t xml:space="preserve">, </w:t>
      </w:r>
      <w:r w:rsidRPr="005B3054">
        <w:t>Madelbertus</w:t>
      </w:r>
      <w:r>
        <w:t xml:space="preserve">, </w:t>
      </w:r>
      <w:r w:rsidRPr="005B3054">
        <w:t>Aimo</w:t>
      </w:r>
      <w:r>
        <w:t xml:space="preserve"> iudices sacri palacii, </w:t>
      </w:r>
      <w:r w:rsidRPr="005B3054">
        <w:t>Remedio</w:t>
      </w:r>
      <w:r>
        <w:t xml:space="preserve"> quondam </w:t>
      </w:r>
      <w:r w:rsidRPr="005B3054">
        <w:t>Renuzo</w:t>
      </w:r>
      <w:r>
        <w:t xml:space="preserve">, </w:t>
      </w:r>
      <w:r w:rsidRPr="005B3054">
        <w:t>Amelricus</w:t>
      </w:r>
      <w:r>
        <w:t xml:space="preserve"> vicecomes, </w:t>
      </w:r>
      <w:r w:rsidRPr="005B3054">
        <w:t>Tursindo</w:t>
      </w:r>
      <w:r>
        <w:t xml:space="preserve">, </w:t>
      </w:r>
      <w:r w:rsidRPr="005B3054">
        <w:t>Ariulfo</w:t>
      </w:r>
      <w:r>
        <w:t xml:space="preserve">, </w:t>
      </w:r>
      <w:r w:rsidRPr="005B3054">
        <w:t>Bernardo</w:t>
      </w:r>
      <w:r>
        <w:t xml:space="preserve">, </w:t>
      </w:r>
      <w:r w:rsidRPr="005B3054">
        <w:t>Vuido</w:t>
      </w:r>
      <w:r>
        <w:t xml:space="preserve">, </w:t>
      </w:r>
      <w:r w:rsidRPr="005B3054">
        <w:t>Tizio</w:t>
      </w:r>
      <w:r>
        <w:t xml:space="preserve">, </w:t>
      </w:r>
      <w:r w:rsidRPr="005B3054">
        <w:t>Amelgauso</w:t>
      </w:r>
      <w:r>
        <w:t xml:space="preserve">, item </w:t>
      </w:r>
      <w:r w:rsidRPr="005B3054">
        <w:t>Amelrico</w:t>
      </w:r>
      <w:r>
        <w:t xml:space="preserve"> et </w:t>
      </w:r>
      <w:r w:rsidRPr="005B3054">
        <w:t>Ermizo</w:t>
      </w:r>
      <w:r>
        <w:t xml:space="preserve"> filio eius, </w:t>
      </w:r>
      <w:r w:rsidRPr="005B3054">
        <w:t>Arpo,</w:t>
      </w:r>
      <w:r>
        <w:t xml:space="preserve"> </w:t>
      </w:r>
      <w:r w:rsidRPr="005B3054">
        <w:t>Richardo</w:t>
      </w:r>
      <w:r>
        <w:t xml:space="preserve">, </w:t>
      </w:r>
      <w:r w:rsidRPr="005B3054">
        <w:t>Vualdingo</w:t>
      </w:r>
      <w:r>
        <w:t xml:space="preserve">, </w:t>
      </w:r>
      <w:r w:rsidRPr="005B3054">
        <w:t>Gariardus</w:t>
      </w:r>
      <w:r>
        <w:t xml:space="preserve"> et reliqui plures. Ibique in eorum veniens presenciam domnus </w:t>
      </w:r>
      <w:r w:rsidRPr="00F179A4">
        <w:t>Otbertus</w:t>
      </w:r>
      <w:r>
        <w:t xml:space="preserve"> episcopus sancte ipsius Veronensis ecclesiae huna cum </w:t>
      </w:r>
      <w:r w:rsidRPr="00F179A4">
        <w:t>Ingelberto</w:t>
      </w:r>
      <w:r>
        <w:t xml:space="preserve"> iudex eius et ipsius episcopi avocatus et ceperunt dicere: “Iam plures vices nos reclamavimus ad vos, domnus </w:t>
      </w:r>
      <w:r w:rsidR="0005441D" w:rsidRPr="00F179A4">
        <w:t>Henricus</w:t>
      </w:r>
      <w:r w:rsidR="0005441D">
        <w:t xml:space="preserve"> dux, ut nobis iustiam</w:t>
      </w:r>
      <w:r w:rsidR="002310EA">
        <w:rPr>
          <w:rStyle w:val="Rimandonotaapidipagina"/>
        </w:rPr>
        <w:footnoteReference w:id="1"/>
      </w:r>
      <w:r w:rsidR="002310EA">
        <w:t xml:space="preserve"> </w:t>
      </w:r>
      <w:r>
        <w:t xml:space="preserve">faciatis de </w:t>
      </w:r>
      <w:r w:rsidRPr="00F179A4">
        <w:t>Tedaldo</w:t>
      </w:r>
      <w:r>
        <w:t xml:space="preserve"> olim marchione et de </w:t>
      </w:r>
      <w:r w:rsidRPr="00F179A4">
        <w:t>Berta</w:t>
      </w:r>
      <w:r>
        <w:t xml:space="preserve"> cugnata eius, qui nobis malo ordine et contra legem detinet et contradicet curte una qui nominatur Ripa qui iacet iusta laco </w:t>
      </w:r>
      <w:r w:rsidRPr="00F179A4">
        <w:t>Bennaco</w:t>
      </w:r>
      <w:r>
        <w:t xml:space="preserve"> </w:t>
      </w:r>
      <w:r w:rsidRPr="00F179A4">
        <w:t>Ripariensis</w:t>
      </w:r>
      <w:r w:rsidR="00CD3ABA">
        <w:rPr>
          <w:rStyle w:val="Rimandonotadichiusura"/>
        </w:rPr>
        <w:endnoteReference w:id="15"/>
      </w:r>
      <w:r>
        <w:t xml:space="preserve">, cum casis masariciis, terris vineis gervis pratis pascuis silvis, tam in montibus quamque et in planiciis, seu servis et ancillis aldiones et aldianes, cencitis et tributariis ipsius curtes cum omnibus rebus ad prefacta curte cum omnibus rebus, ut supra legitur pertinentibus, atque olivetis et censionibus ipsius curte et pertinenciis tam in laco </w:t>
      </w:r>
      <w:r w:rsidRPr="00F179A4">
        <w:t>Bennaco</w:t>
      </w:r>
      <w:r>
        <w:t xml:space="preserve"> quamque et foris iuxsta ipsius Ripe; unde ei plures vices missi e</w:t>
      </w:r>
      <w:r w:rsidR="0005441D">
        <w:t>t pistole da vestra parte ei dil</w:t>
      </w:r>
      <w:r>
        <w:t>ecti</w:t>
      </w:r>
      <w:r w:rsidR="002310EA">
        <w:rPr>
          <w:rStyle w:val="Rimandonotaapidipagina"/>
        </w:rPr>
        <w:footnoteReference w:id="2"/>
      </w:r>
      <w:r w:rsidR="002310EA">
        <w:t xml:space="preserve"> </w:t>
      </w:r>
      <w:r>
        <w:t xml:space="preserve">fuerant, set menime eum et ea ad vestrum placitum habere potuistis. Unde quero, ut vos, domnus </w:t>
      </w:r>
      <w:r w:rsidRPr="00F179A4">
        <w:t>Henricus</w:t>
      </w:r>
      <w:r>
        <w:t xml:space="preserve"> dux, propter Deum hac anime domni regis nobis de predicta curte, qui nominatur Ripa, qui iacet iuxsta laco </w:t>
      </w:r>
      <w:r w:rsidRPr="00F179A4">
        <w:t>Bennaco</w:t>
      </w:r>
      <w:r>
        <w:t xml:space="preserve"> Ripariensi, ad salva querella nobis investiatis, quousque ipse </w:t>
      </w:r>
      <w:r w:rsidRPr="00F179A4">
        <w:t>Teodaldo</w:t>
      </w:r>
      <w:r>
        <w:t xml:space="preserve"> olim marchione et </w:t>
      </w:r>
      <w:r w:rsidRPr="00F179A4">
        <w:t>Berta</w:t>
      </w:r>
      <w:r>
        <w:t xml:space="preserve"> cognata sua ad placitum veniet et nobis exinde iusticias faciad”. Et cum ipse domnus </w:t>
      </w:r>
      <w:r w:rsidRPr="00F179A4">
        <w:t>Otbertus</w:t>
      </w:r>
      <w:r>
        <w:t xml:space="preserve"> episcopus et </w:t>
      </w:r>
      <w:r w:rsidRPr="00F179A4">
        <w:t>Ingelbertus</w:t>
      </w:r>
      <w:r>
        <w:t xml:space="preserve"> iudex eius et ipsius episcopii avokatus taliter retuliset, ad hec recordatus est predictus domnus </w:t>
      </w:r>
      <w:r w:rsidRPr="00F179A4">
        <w:t>Henricus</w:t>
      </w:r>
      <w:r>
        <w:t xml:space="preserve"> dux, quod sic esse veritas sicut predictus </w:t>
      </w:r>
      <w:r w:rsidRPr="00F179A4">
        <w:t>Otbertus</w:t>
      </w:r>
      <w:r>
        <w:t xml:space="preserve"> episcopus et </w:t>
      </w:r>
      <w:r w:rsidRPr="00F179A4">
        <w:t>Ingelbertus</w:t>
      </w:r>
      <w:r>
        <w:t xml:space="preserve"> iudex eius episcopo avokatus aseruerat, et tunc ibi locum in eodem iudicio ad predictus domnus </w:t>
      </w:r>
      <w:r w:rsidRPr="00F179A4">
        <w:t>Henricus</w:t>
      </w:r>
      <w:r>
        <w:t xml:space="preserve"> dux iam dictus </w:t>
      </w:r>
      <w:r w:rsidRPr="00F179A4">
        <w:t>Teudaldo</w:t>
      </w:r>
      <w:r>
        <w:t xml:space="preserve"> marchione et </w:t>
      </w:r>
      <w:r w:rsidRPr="00F179A4">
        <w:t>Berta</w:t>
      </w:r>
      <w:r>
        <w:t xml:space="preserve"> cognata sua intus foris querere et vociferare feciset, set menime eum et eam habere potuit ad suum placitum, et tunc ibi locum presens omnium in eodem iudicio per fuste, quas sua tenebat manus, predictus domnus </w:t>
      </w:r>
      <w:r w:rsidRPr="00F179A4">
        <w:t>Henricus</w:t>
      </w:r>
      <w:r>
        <w:t xml:space="preserve"> dux eundem domni </w:t>
      </w:r>
      <w:r w:rsidRPr="00F179A4">
        <w:t>Otberti</w:t>
      </w:r>
      <w:r>
        <w:t xml:space="preserve"> episcopi et </w:t>
      </w:r>
      <w:r w:rsidRPr="00F179A4">
        <w:t>Ingelbertus</w:t>
      </w:r>
      <w:r>
        <w:t xml:space="preserve"> iudex eius et ipsius episcopi avokatus de predicta curte, qui nominatur Ripa </w:t>
      </w:r>
      <w:r w:rsidR="003B0AE2">
        <w:t xml:space="preserve">iuxsta laco </w:t>
      </w:r>
      <w:r w:rsidR="003B0AE2" w:rsidRPr="00F179A4">
        <w:t>Bennaco</w:t>
      </w:r>
      <w:r w:rsidR="003B0AE2">
        <w:t xml:space="preserve"> Ripariensi</w:t>
      </w:r>
      <w:r>
        <w:t xml:space="preserve"> cum omnibus rebus ad ea pertinentibus, casis masariciis terris vineis ierbis campis pratis pascuis silvis, tam in montibus quamque et in planiciis, tam infra lacco quamque et foris eo, servis et ancillis, aldionis et aldianes, tributariis censitis redditis fiscalinis uttriusque sexsu ad iam dicta curte pertinentibus vel adspicientibus ad salva querell</w:t>
      </w:r>
      <w:r w:rsidR="00881D84">
        <w:t>a</w:t>
      </w:r>
      <w:r>
        <w:t xml:space="preserve"> investivit, quousque ipse </w:t>
      </w:r>
      <w:r w:rsidRPr="00F179A4">
        <w:lastRenderedPageBreak/>
        <w:t>Teudaldus</w:t>
      </w:r>
      <w:r>
        <w:t xml:space="preserve"> et </w:t>
      </w:r>
      <w:r w:rsidRPr="00F179A4">
        <w:t>Berta</w:t>
      </w:r>
      <w:r>
        <w:t xml:space="preserve"> cugnata eius nobis iusticiam faciad. Insuper misit bandum domni regis in mancosos auri mille, ut nullum quislibet homo eundem domnus </w:t>
      </w:r>
      <w:r w:rsidRPr="00F179A4">
        <w:t>Otbertus</w:t>
      </w:r>
      <w:r>
        <w:t xml:space="preserve"> episcopus et </w:t>
      </w:r>
      <w:r w:rsidRPr="00F179A4">
        <w:t>Ingelbertus</w:t>
      </w:r>
      <w:r>
        <w:t xml:space="preserve"> iudex eius et ipsius episcopi avokatus disvestire audead sine legali iudicio; qui vero fecerint, predictos mille mancosos auris se compositurus agnoscat, medietatem parte kamare domni regis, medietatem eidem domni </w:t>
      </w:r>
      <w:r w:rsidRPr="00F179A4">
        <w:t>Otberti</w:t>
      </w:r>
      <w:r>
        <w:t xml:space="preserve"> episcopi eiusque successores et </w:t>
      </w:r>
      <w:r w:rsidRPr="00F179A4">
        <w:t>Ingelbe</w:t>
      </w:r>
      <w:r w:rsidR="0005441D" w:rsidRPr="00F179A4">
        <w:t>rto</w:t>
      </w:r>
      <w:r w:rsidR="0005441D">
        <w:t xml:space="preserve"> iudex eius advokatus et par</w:t>
      </w:r>
      <w:r w:rsidR="002310EA">
        <w:rPr>
          <w:rStyle w:val="Rimandonotaapidipagina"/>
        </w:rPr>
        <w:footnoteReference w:id="3"/>
      </w:r>
      <w:r w:rsidR="002310EA">
        <w:t xml:space="preserve"> </w:t>
      </w:r>
      <w:r>
        <w:t xml:space="preserve">ipsius episcopi sancti </w:t>
      </w:r>
      <w:r w:rsidRPr="00F179A4">
        <w:t>Zenonis</w:t>
      </w:r>
      <w:r>
        <w:t xml:space="preserve">. Et hac noticia qualiter hacta est fieri iussimus. Quidem et ego </w:t>
      </w:r>
      <w:r w:rsidRPr="00F179A4">
        <w:t>Ambrosius</w:t>
      </w:r>
      <w:r>
        <w:t xml:space="preserve"> notarius ex iussione suprascripto dux et iudicum amonitione scripsi, anno ab incarnatione domini nostri Iesu Christi nonogentesimo nonogesimo tercio, sub die de mense november, indicione septima, feliciter.</w:t>
      </w:r>
      <w:r w:rsidR="00881D84">
        <w:t xml:space="preserve"> </w:t>
      </w:r>
      <w:r>
        <w:t xml:space="preserve">+ Signum manu suprascripto domnus </w:t>
      </w:r>
      <w:r w:rsidRPr="00F179A4">
        <w:t>Henricus</w:t>
      </w:r>
      <w:r>
        <w:t xml:space="preserve"> dux, qui ut supra interfui.</w:t>
      </w:r>
      <w:r w:rsidR="00881D84">
        <w:t xml:space="preserve"> </w:t>
      </w:r>
      <w:r>
        <w:t xml:space="preserve">+ Signum manu suprascripto </w:t>
      </w:r>
      <w:r w:rsidRPr="00F179A4">
        <w:t>Riprandus</w:t>
      </w:r>
      <w:r>
        <w:t xml:space="preserve"> comes, qui ut supra interfui.</w:t>
      </w:r>
      <w:r w:rsidR="00881D84">
        <w:t xml:space="preserve"> </w:t>
      </w:r>
      <w:r>
        <w:t xml:space="preserve">(S) Ego </w:t>
      </w:r>
      <w:r w:rsidRPr="00F179A4">
        <w:t>Gausfredus</w:t>
      </w:r>
      <w:r>
        <w:t xml:space="preserve"> iudex domni imperatoris interfui.</w:t>
      </w:r>
      <w:r w:rsidR="00881D84">
        <w:t xml:space="preserve"> </w:t>
      </w:r>
      <w:r>
        <w:t xml:space="preserve">(S) </w:t>
      </w:r>
      <w:r w:rsidRPr="00F179A4">
        <w:t>Vualcausus</w:t>
      </w:r>
      <w:r>
        <w:t xml:space="preserve"> iudex sacri palatii interfui.</w:t>
      </w:r>
      <w:r w:rsidR="00881D84">
        <w:t xml:space="preserve"> </w:t>
      </w:r>
      <w:r>
        <w:t xml:space="preserve">(S) </w:t>
      </w:r>
      <w:r w:rsidRPr="00F179A4">
        <w:t>Amelgauso</w:t>
      </w:r>
      <w:r>
        <w:t xml:space="preserve"> iudex sacri palatii interfui.</w:t>
      </w:r>
      <w:r w:rsidR="00881D84">
        <w:t xml:space="preserve"> </w:t>
      </w:r>
      <w:r>
        <w:t xml:space="preserve">(S) </w:t>
      </w:r>
      <w:r w:rsidRPr="00F179A4">
        <w:t>Maginfredus</w:t>
      </w:r>
      <w:r>
        <w:t xml:space="preserve"> iudex sacri palatii interfui.</w:t>
      </w:r>
      <w:r w:rsidR="00881D84">
        <w:t xml:space="preserve"> </w:t>
      </w:r>
      <w:r>
        <w:t xml:space="preserve">(S) </w:t>
      </w:r>
      <w:r w:rsidRPr="00F179A4">
        <w:t>Audibertus</w:t>
      </w:r>
      <w:r>
        <w:t xml:space="preserve"> iudex domni imperatoris interfui.</w:t>
      </w:r>
      <w:r w:rsidR="00881D84">
        <w:t xml:space="preserve"> </w:t>
      </w:r>
      <w:r>
        <w:t xml:space="preserve">(S) </w:t>
      </w:r>
      <w:r w:rsidRPr="00F179A4">
        <w:t>Ambrosius</w:t>
      </w:r>
      <w:r>
        <w:t xml:space="preserve"> iudex sacri palacii interfui.</w:t>
      </w:r>
    </w:p>
    <w:p w14:paraId="112E39B0" w14:textId="77777777" w:rsidR="007061EB" w:rsidRDefault="007061EB">
      <w:pPr>
        <w:suppressAutoHyphens w:val="0"/>
        <w:spacing w:after="200" w:line="276" w:lineRule="auto"/>
      </w:pPr>
      <w:r>
        <w:br w:type="page"/>
      </w:r>
    </w:p>
    <w:p w14:paraId="3567E08B" w14:textId="77777777" w:rsidR="00146D3E" w:rsidRDefault="007061EB" w:rsidP="00BC472D">
      <w:pPr>
        <w:jc w:val="both"/>
      </w:pPr>
      <w:r>
        <w:lastRenderedPageBreak/>
        <w:t>NOTE STORICHE</w:t>
      </w:r>
    </w:p>
    <w:sectPr w:rsidR="00146D3E">
      <w:footnotePr>
        <w:numFmt w:val="lowerLetter"/>
      </w:footnotePr>
      <w:endnotePr>
        <w:numFmt w:val="decimal"/>
      </w:endnotePr>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90E8E7" w14:textId="77777777" w:rsidR="001B6EDA" w:rsidRDefault="001B6EDA" w:rsidP="007067BE">
      <w:r>
        <w:separator/>
      </w:r>
    </w:p>
  </w:endnote>
  <w:endnote w:type="continuationSeparator" w:id="0">
    <w:p w14:paraId="61A4ACB5" w14:textId="77777777" w:rsidR="001B6EDA" w:rsidRDefault="001B6EDA" w:rsidP="007067BE">
      <w:r>
        <w:continuationSeparator/>
      </w:r>
    </w:p>
  </w:endnote>
  <w:endnote w:id="1">
    <w:p w14:paraId="734F33DD" w14:textId="77777777" w:rsidR="00E02136" w:rsidRDefault="00E02136">
      <w:pPr>
        <w:pStyle w:val="Testonotadichiusura"/>
      </w:pPr>
      <w:r>
        <w:rPr>
          <w:rStyle w:val="Rimandonotadichiusura"/>
        </w:rPr>
        <w:endnoteRef/>
      </w:r>
      <w:r>
        <w:t xml:space="preserve"> </w:t>
      </w:r>
      <w:r w:rsidRPr="00E02136">
        <w:rPr>
          <w:smallCaps/>
        </w:rPr>
        <w:t>Castagnetti</w:t>
      </w:r>
      <w:r>
        <w:t xml:space="preserve"> 1993, p. 82.</w:t>
      </w:r>
    </w:p>
  </w:endnote>
  <w:endnote w:id="2">
    <w:p w14:paraId="4085A1BE" w14:textId="77777777" w:rsidR="00E02136" w:rsidRPr="00B24592" w:rsidRDefault="00E02136" w:rsidP="00BC472D">
      <w:pPr>
        <w:pStyle w:val="Testonotadichiusura"/>
        <w:jc w:val="both"/>
      </w:pPr>
      <w:r>
        <w:rPr>
          <w:rStyle w:val="Rimandonotadichiusura"/>
        </w:rPr>
        <w:endnoteRef/>
      </w:r>
      <w:r>
        <w:t xml:space="preserve"> </w:t>
      </w:r>
      <w:r w:rsidRPr="00B24592">
        <w:t xml:space="preserve"> </w:t>
      </w:r>
      <w:r w:rsidRPr="00FE155B">
        <w:t>Obertus (990-1008) (</w:t>
      </w:r>
      <w:r w:rsidRPr="007537DE">
        <w:rPr>
          <w:smallCaps/>
        </w:rPr>
        <w:t>Gams</w:t>
      </w:r>
      <w:r w:rsidRPr="00FE155B">
        <w:t xml:space="preserve"> 1857, p. 804). Nell’agosto del 996 ottenne, insieme agli abitanti di Illasi, dei territori che erano stati contestati dagli abitanti di Grepeto (</w:t>
      </w:r>
      <w:r w:rsidR="007061EB">
        <w:rPr>
          <w:u w:val="single"/>
        </w:rPr>
        <w:t>Veneto 14</w:t>
      </w:r>
      <w:r w:rsidRPr="00FE155B">
        <w:t>)</w:t>
      </w:r>
      <w:r>
        <w:t>. Nel marzo del 996 presiedette un processo in cui il doge di Venezia Pietro ottenne il riconoscimento dei suoi diritti sul territorio di Eracliana (</w:t>
      </w:r>
      <w:r w:rsidR="007061EB">
        <w:rPr>
          <w:u w:val="single"/>
        </w:rPr>
        <w:t>Veneto 13</w:t>
      </w:r>
      <w:r>
        <w:t>); i</w:t>
      </w:r>
      <w:r w:rsidRPr="00FE155B">
        <w:t>l 18 e il 22 luglio partecipò ad altri due placiti in cui si contrapponevano il vescovo Giovanni e il doge Pietro</w:t>
      </w:r>
      <w:r>
        <w:t xml:space="preserve"> (</w:t>
      </w:r>
      <w:r w:rsidR="007061EB">
        <w:rPr>
          <w:u w:val="single"/>
        </w:rPr>
        <w:t>Veneto 16</w:t>
      </w:r>
      <w:r>
        <w:rPr>
          <w:u w:val="single"/>
        </w:rPr>
        <w:t>, Veneto 1</w:t>
      </w:r>
      <w:r w:rsidR="007061EB">
        <w:rPr>
          <w:u w:val="single"/>
        </w:rPr>
        <w:t>7</w:t>
      </w:r>
      <w:r w:rsidR="007061EB">
        <w:t>)</w:t>
      </w:r>
    </w:p>
  </w:endnote>
  <w:endnote w:id="3">
    <w:p w14:paraId="619AC49F" w14:textId="77777777" w:rsidR="00E02136" w:rsidRDefault="00E02136" w:rsidP="00BC472D">
      <w:pPr>
        <w:pStyle w:val="Testonotadichiusura"/>
        <w:jc w:val="both"/>
      </w:pPr>
      <w:r>
        <w:rPr>
          <w:rStyle w:val="Rimandonotadichiusura"/>
        </w:rPr>
        <w:endnoteRef/>
      </w:r>
      <w:r>
        <w:t xml:space="preserve"> La Marca Veronese, istituita nel 952, fu unita a quella di Carinzia nel 976 (</w:t>
      </w:r>
      <w:r w:rsidRPr="002E5AEF">
        <w:rPr>
          <w:smallCaps/>
        </w:rPr>
        <w:t>Castagnetti</w:t>
      </w:r>
      <w:r>
        <w:t xml:space="preserve"> 1989, pp. 49-50). Enrico I duca, insieme alla moglie Giuditta e al figlio Enrico, sono ricordati dal vescovo Raterio di Verona (931-968, con diverse interruzioni) perché affidarono al conte veronese Bucco la tutela del presule (</w:t>
      </w:r>
      <w:r w:rsidRPr="00E02136">
        <w:rPr>
          <w:smallCaps/>
        </w:rPr>
        <w:t>Castagnetti</w:t>
      </w:r>
      <w:r>
        <w:t xml:space="preserve"> 1996, pp. 89-90). Spesso i duchi della Marca assistettero ai placiti (Manaresi 218, </w:t>
      </w:r>
      <w:r w:rsidR="007061EB">
        <w:rPr>
          <w:u w:val="single"/>
        </w:rPr>
        <w:t>Veneto 13, Veneto 16</w:t>
      </w:r>
      <w:r>
        <w:t>, Manaresi 267, Manaresi 277, Manaresi 294, Manaresi 384, Manaresi 466).</w:t>
      </w:r>
    </w:p>
  </w:endnote>
  <w:endnote w:id="4">
    <w:p w14:paraId="0975F65C" w14:textId="77777777" w:rsidR="00E02136" w:rsidRDefault="00E02136" w:rsidP="00BC472D">
      <w:pPr>
        <w:pStyle w:val="Testonotadichiusura"/>
        <w:jc w:val="both"/>
      </w:pPr>
      <w:r>
        <w:rPr>
          <w:rStyle w:val="Rimandonotadichiusura"/>
        </w:rPr>
        <w:endnoteRef/>
      </w:r>
      <w:r>
        <w:t xml:space="preserve"> Figlio del conte Gandolfo e di Ermengarda, figlia di Riprando conte di Lecco, probabilmente assunse il comitato di Brescia nel 996, dopo aver abbandonato quello veronese (</w:t>
      </w:r>
      <w:r w:rsidRPr="00AB19D5">
        <w:rPr>
          <w:smallCaps/>
        </w:rPr>
        <w:t>Castagnetti</w:t>
      </w:r>
      <w:r>
        <w:t xml:space="preserve"> 1989, p. 59). Secondo Manaresi II, p. 303, invece, Riprando era conte di Trento, nel cui territorio si trovava la </w:t>
      </w:r>
      <w:r>
        <w:rPr>
          <w:i/>
        </w:rPr>
        <w:t xml:space="preserve">curtis </w:t>
      </w:r>
      <w:r>
        <w:t>contesa.</w:t>
      </w:r>
    </w:p>
  </w:endnote>
  <w:endnote w:id="5">
    <w:p w14:paraId="0D78DECC" w14:textId="77777777" w:rsidR="00E02136" w:rsidRDefault="00E02136" w:rsidP="00BC472D">
      <w:pPr>
        <w:pStyle w:val="Testonotadichiusura"/>
        <w:jc w:val="both"/>
      </w:pPr>
      <w:r>
        <w:rPr>
          <w:rStyle w:val="Rimandonotadichiusura"/>
        </w:rPr>
        <w:endnoteRef/>
      </w:r>
      <w:r>
        <w:t xml:space="preserve"> Qui presentato senza specificazioni territoriali, questo conte è identificato dal Castagnetti con il Rambaldo che nel 991 ricevette un diploma da Ottone III. Dai privilegi imperiali possiamo delineare la figura di Rambaldo, che possedeva un ingente patrimonio nel trevigiano (</w:t>
      </w:r>
      <w:r w:rsidRPr="002E5AEF">
        <w:rPr>
          <w:smallCaps/>
        </w:rPr>
        <w:t>Castagnetti</w:t>
      </w:r>
      <w:r>
        <w:t xml:space="preserve"> 1989 pp. 59-60 per i riferimenti). Per questo motivo, il Castagnetti lo identifica, senza esitazioni, come conte di Treviso (</w:t>
      </w:r>
      <w:r w:rsidRPr="002A3245">
        <w:rPr>
          <w:smallCaps/>
        </w:rPr>
        <w:t>Castagnetti</w:t>
      </w:r>
      <w:r>
        <w:t xml:space="preserve"> 1993, p. 82-84). Il legame tra Rambaldo e Ottone III permise al conte di accompagnare quest’ultimo durante la vis</w:t>
      </w:r>
      <w:r w:rsidR="007061EB">
        <w:t>ita segreta a Venezia nel 1001</w:t>
      </w:r>
      <w:r w:rsidR="00AF6463">
        <w:t xml:space="preserve"> (</w:t>
      </w:r>
      <w:r w:rsidR="00AF6463" w:rsidRPr="00AF6463">
        <w:rPr>
          <w:smallCaps/>
        </w:rPr>
        <w:t>Giovanni Diacono</w:t>
      </w:r>
      <w:r w:rsidR="00AF6463">
        <w:t xml:space="preserve">, </w:t>
      </w:r>
      <w:r w:rsidR="00AF6463">
        <w:rPr>
          <w:i/>
        </w:rPr>
        <w:t>Istoria</w:t>
      </w:r>
      <w:r w:rsidR="00AF6463">
        <w:t>, 56-60)</w:t>
      </w:r>
      <w:r>
        <w:t>.</w:t>
      </w:r>
    </w:p>
  </w:endnote>
  <w:endnote w:id="6">
    <w:p w14:paraId="7107F480" w14:textId="77777777" w:rsidR="00E02136" w:rsidRDefault="00E02136" w:rsidP="00BC472D">
      <w:pPr>
        <w:pStyle w:val="Testonotadichiusura"/>
        <w:jc w:val="both"/>
      </w:pPr>
      <w:r>
        <w:rPr>
          <w:rStyle w:val="Rimandonotadichiusura"/>
        </w:rPr>
        <w:endnoteRef/>
      </w:r>
      <w:r w:rsidRPr="00B24592">
        <w:t xml:space="preserve"> Amelgauso (Hamelgausus, Amalgauso). </w:t>
      </w:r>
      <w:r>
        <w:t xml:space="preserve">Il </w:t>
      </w:r>
      <w:r w:rsidRPr="000432F6">
        <w:t xml:space="preserve">14 feb. 995 </w:t>
      </w:r>
      <w:r>
        <w:t>giudicò, nel contado di</w:t>
      </w:r>
      <w:r w:rsidRPr="000432F6">
        <w:t xml:space="preserve"> Vicenza</w:t>
      </w:r>
      <w:r>
        <w:t>, in una causa che contrapponeva S. Zaccaria di Venezia a S. Giustina di Padova</w:t>
      </w:r>
      <w:r w:rsidRPr="000432F6">
        <w:t xml:space="preserve"> (</w:t>
      </w:r>
      <w:r w:rsidR="007061EB">
        <w:rPr>
          <w:u w:val="single"/>
        </w:rPr>
        <w:t>Veneto 12</w:t>
      </w:r>
      <w:r w:rsidRPr="000432F6">
        <w:t>);</w:t>
      </w:r>
      <w:r>
        <w:t xml:space="preserve"> il</w:t>
      </w:r>
      <w:r w:rsidRPr="000432F6">
        <w:t xml:space="preserve"> 25 marzo 996</w:t>
      </w:r>
      <w:r>
        <w:t xml:space="preserve"> e il 18 luglio 998</w:t>
      </w:r>
      <w:r w:rsidRPr="000432F6">
        <w:t xml:space="preserve">, </w:t>
      </w:r>
      <w:r>
        <w:t xml:space="preserve">a </w:t>
      </w:r>
      <w:r w:rsidRPr="000432F6">
        <w:t>Verona</w:t>
      </w:r>
      <w:r>
        <w:t>, partecipò a due placiti in cui si confrontavano il doge Pietro e Giovanni vescovo di Belluno</w:t>
      </w:r>
      <w:r w:rsidRPr="000432F6">
        <w:t xml:space="preserve"> (</w:t>
      </w:r>
      <w:r w:rsidR="007061EB">
        <w:rPr>
          <w:u w:val="single"/>
        </w:rPr>
        <w:t>Veneto 13, Veneto 16</w:t>
      </w:r>
      <w:r>
        <w:t>)</w:t>
      </w:r>
      <w:r w:rsidRPr="000432F6">
        <w:t xml:space="preserve">; </w:t>
      </w:r>
      <w:r>
        <w:t xml:space="preserve">il 3 novembre 1001, a </w:t>
      </w:r>
      <w:r w:rsidRPr="000432F6">
        <w:t>Verona</w:t>
      </w:r>
      <w:r>
        <w:t>, come avvocato dell’imperatore, confermò la validità di un diploma di Ottone III a Vuerihen conte del Friuli</w:t>
      </w:r>
      <w:r w:rsidRPr="000432F6">
        <w:t xml:space="preserve"> (</w:t>
      </w:r>
      <w:r w:rsidRPr="00C95D56">
        <w:t>Manaresi, 267</w:t>
      </w:r>
      <w:r w:rsidRPr="000432F6">
        <w:t>);</w:t>
      </w:r>
      <w:r>
        <w:t xml:space="preserve"> il</w:t>
      </w:r>
      <w:r w:rsidRPr="000432F6">
        <w:t xml:space="preserve"> 10 feb</w:t>
      </w:r>
      <w:r>
        <w:t>braio</w:t>
      </w:r>
      <w:r w:rsidRPr="000432F6">
        <w:t xml:space="preserve"> 1018, </w:t>
      </w:r>
      <w:r>
        <w:t xml:space="preserve">a </w:t>
      </w:r>
      <w:r w:rsidRPr="000432F6">
        <w:t>Verona</w:t>
      </w:r>
      <w:r>
        <w:t>, giudicò nel placito che contrapponeva Ingone ad Alberico, Gezone e Vualda</w:t>
      </w:r>
      <w:r w:rsidRPr="000432F6">
        <w:t xml:space="preserve"> (</w:t>
      </w:r>
      <w:r>
        <w:t xml:space="preserve">Manaresi, </w:t>
      </w:r>
      <w:r w:rsidRPr="000432F6">
        <w:t xml:space="preserve">299); </w:t>
      </w:r>
      <w:r>
        <w:t>fu avvocato per il monastero di San Zeno il</w:t>
      </w:r>
      <w:r w:rsidRPr="000432F6">
        <w:t xml:space="preserve"> 6 dicembre 1021, Verona</w:t>
      </w:r>
      <w:r>
        <w:t>, contro il conte Ragimbaldo</w:t>
      </w:r>
      <w:r w:rsidRPr="000432F6">
        <w:t xml:space="preserve"> (</w:t>
      </w:r>
      <w:r>
        <w:t>Manaresi, 309); il</w:t>
      </w:r>
      <w:r w:rsidRPr="000432F6">
        <w:t xml:space="preserve"> 31 agosto 1023, </w:t>
      </w:r>
      <w:r>
        <w:t>ancora a</w:t>
      </w:r>
      <w:r w:rsidRPr="000432F6">
        <w:t>Verona</w:t>
      </w:r>
      <w:r>
        <w:t>, partecipò al placito che riconosceva i possessi di San Zeno in Valle Paltennate</w:t>
      </w:r>
      <w:r w:rsidRPr="000432F6">
        <w:t xml:space="preserve"> (</w:t>
      </w:r>
      <w:r>
        <w:t>Manaresi, 320)</w:t>
      </w:r>
      <w:r w:rsidRPr="000432F6">
        <w:t xml:space="preserve"> </w:t>
      </w:r>
      <w:r>
        <w:t>(</w:t>
      </w:r>
      <w:r w:rsidRPr="00955E84">
        <w:rPr>
          <w:smallCaps/>
        </w:rPr>
        <w:t>Radding</w:t>
      </w:r>
      <w:r>
        <w:t xml:space="preserve"> 1988,</w:t>
      </w:r>
      <w:r w:rsidRPr="000432F6">
        <w:t xml:space="preserve"> p 262</w:t>
      </w:r>
      <w:r>
        <w:t>).</w:t>
      </w:r>
    </w:p>
  </w:endnote>
  <w:endnote w:id="7">
    <w:p w14:paraId="593BBBC6" w14:textId="77777777" w:rsidR="00E02136" w:rsidRDefault="00E02136" w:rsidP="00BC472D">
      <w:pPr>
        <w:pStyle w:val="Testonotadichiusura"/>
        <w:jc w:val="both"/>
      </w:pPr>
      <w:r>
        <w:rPr>
          <w:rStyle w:val="Rimandonotadichiusura"/>
        </w:rPr>
        <w:endnoteRef/>
      </w:r>
      <w:r>
        <w:t xml:space="preserve"> Vualcasuo (Hvaulcauso, Hualcauso). </w:t>
      </w:r>
      <w:r w:rsidRPr="00A60939">
        <w:t>Il 14 feb. 995 giudicò, nel contado di Vicenza, in una causa che contrapponeva S. Zaccaria di Venezia a S. Giustina di Padova (</w:t>
      </w:r>
      <w:r w:rsidR="007061EB">
        <w:rPr>
          <w:u w:val="single"/>
        </w:rPr>
        <w:t>Veneto 12</w:t>
      </w:r>
      <w:r w:rsidRPr="00A60939">
        <w:t>);</w:t>
      </w:r>
      <w:r>
        <w:t xml:space="preserve"> </w:t>
      </w:r>
      <w:r w:rsidRPr="00A60939">
        <w:t>il 25 marzo 996</w:t>
      </w:r>
      <w:r>
        <w:t>, nel maggio del 998,</w:t>
      </w:r>
      <w:r w:rsidRPr="00A60939">
        <w:t xml:space="preserve"> il 18</w:t>
      </w:r>
      <w:r>
        <w:t xml:space="preserve"> e il 22</w:t>
      </w:r>
      <w:r w:rsidRPr="00A60939">
        <w:t xml:space="preserve"> luglio 998, </w:t>
      </w:r>
      <w:r>
        <w:t>partecipò ai placiti</w:t>
      </w:r>
      <w:r w:rsidRPr="00A60939">
        <w:t xml:space="preserve"> in cui si confrontavano il doge Pietro e Giovanni vescovo di Belluno (</w:t>
      </w:r>
      <w:r w:rsidR="007061EB">
        <w:rPr>
          <w:u w:val="single"/>
        </w:rPr>
        <w:t>Veneto 13, Veneto 15, Veneto 16, Veneto 17</w:t>
      </w:r>
      <w:r w:rsidRPr="00A60939">
        <w:t>)</w:t>
      </w:r>
      <w:r>
        <w:t xml:space="preserve"> (</w:t>
      </w:r>
      <w:r w:rsidRPr="00A60939">
        <w:rPr>
          <w:smallCaps/>
        </w:rPr>
        <w:t>Radding</w:t>
      </w:r>
      <w:r>
        <w:t xml:space="preserve"> 1988</w:t>
      </w:r>
      <w:r w:rsidRPr="00A60939">
        <w:t>, pp. 262-263</w:t>
      </w:r>
      <w:r>
        <w:t>).</w:t>
      </w:r>
    </w:p>
  </w:endnote>
  <w:endnote w:id="8">
    <w:p w14:paraId="639F7CB6" w14:textId="77777777" w:rsidR="00E02136" w:rsidRDefault="00E02136" w:rsidP="00BC472D">
      <w:pPr>
        <w:pStyle w:val="Testonotadichiusura"/>
        <w:jc w:val="both"/>
      </w:pPr>
      <w:r>
        <w:rPr>
          <w:rStyle w:val="Rimandonotadichiusura"/>
        </w:rPr>
        <w:endnoteRef/>
      </w:r>
      <w:r>
        <w:t xml:space="preserve"> Nel 973 redasse una carta a Verona (</w:t>
      </w:r>
      <w:r w:rsidRPr="00146D3E">
        <w:rPr>
          <w:smallCaps/>
        </w:rPr>
        <w:t>Radding</w:t>
      </w:r>
      <w:r>
        <w:t xml:space="preserve"> 1988, p. 253)</w:t>
      </w:r>
    </w:p>
  </w:endnote>
  <w:endnote w:id="9">
    <w:p w14:paraId="78802D87" w14:textId="77777777" w:rsidR="00E02136" w:rsidRDefault="00E02136" w:rsidP="00BC472D">
      <w:pPr>
        <w:pStyle w:val="Testonotadichiusura"/>
        <w:jc w:val="both"/>
      </w:pPr>
      <w:r>
        <w:rPr>
          <w:rStyle w:val="Rimandonotadichiusura"/>
        </w:rPr>
        <w:endnoteRef/>
      </w:r>
      <w:r>
        <w:t xml:space="preserve"> Maginfredddo (Maginfredus). Il 24 settembre del 1000 fu a Parma, dove il diacono Guntardo ottenne il banno imperiale su una corte a Lama (Manaresi, 256).</w:t>
      </w:r>
    </w:p>
  </w:endnote>
  <w:endnote w:id="10">
    <w:p w14:paraId="685F84F5" w14:textId="77777777" w:rsidR="00E02136" w:rsidRDefault="00E02136" w:rsidP="00BC472D">
      <w:pPr>
        <w:pStyle w:val="Testonotadichiusura"/>
        <w:jc w:val="both"/>
      </w:pPr>
      <w:r>
        <w:rPr>
          <w:rStyle w:val="Rimandonotadichiusura"/>
        </w:rPr>
        <w:endnoteRef/>
      </w:r>
      <w:r>
        <w:t xml:space="preserve"> Gaufreddo (Gaufredus). </w:t>
      </w:r>
      <w:r w:rsidRPr="002310EA">
        <w:t>Il 18 e il 22 luglio 998 partecipò a due placiti in cui si contrapponevano il doge Pietro e il vescovo di Belluno Giovanni (</w:t>
      </w:r>
      <w:r w:rsidR="007061EB">
        <w:rPr>
          <w:u w:val="single"/>
        </w:rPr>
        <w:t>Veneto 16, Veneto 17</w:t>
      </w:r>
      <w:r w:rsidRPr="002310EA">
        <w:t>)</w:t>
      </w:r>
      <w:r>
        <w:t>;</w:t>
      </w:r>
      <w:r w:rsidRPr="00575CE3">
        <w:rPr>
          <w:sz w:val="24"/>
          <w:szCs w:val="24"/>
        </w:rPr>
        <w:t xml:space="preserve"> </w:t>
      </w:r>
      <w:r w:rsidRPr="00575CE3">
        <w:t>nel febbraio del 1014, ad Arezzo, partecipò a un processo che vedeva contrapposti il monastero di Santa Fiora e Griffo figlio di Berardo per dei territori a M</w:t>
      </w:r>
      <w:r>
        <w:t xml:space="preserve">onte Ferentino (Manaresi, 280); </w:t>
      </w:r>
      <w:r w:rsidRPr="00575CE3">
        <w:t xml:space="preserve">nel marzo dello stesso anno, sempre ad Arezzo prese parte al placito che confermò al monastero delle Sante Fiora e Lucilla dei beni a Martinense e Barbaritana (Manaresi, 281); il 10 feb. 1018, di nuovo a Verona, giudicò nel placito che contrapponeva Ingone ad Alberico, Gezone e Vualda (Manaresi, 299) </w:t>
      </w:r>
      <w:r>
        <w:t xml:space="preserve">); </w:t>
      </w:r>
      <w:r w:rsidRPr="00575CE3">
        <w:t>il 31 agosto 1023, nella stessa città, partecipò al placito che riconosceva i possessi di San Zeno in V</w:t>
      </w:r>
      <w:r>
        <w:t>alle Paltennate (Manaresi, 320)</w:t>
      </w:r>
      <w:r w:rsidRPr="00575CE3">
        <w:t xml:space="preserve"> </w:t>
      </w:r>
      <w:r>
        <w:t>(</w:t>
      </w:r>
      <w:r w:rsidRPr="00B24592">
        <w:rPr>
          <w:smallCaps/>
        </w:rPr>
        <w:t>Radding</w:t>
      </w:r>
      <w:r>
        <w:t xml:space="preserve"> 1988, p. 262).</w:t>
      </w:r>
    </w:p>
  </w:endnote>
  <w:endnote w:id="11">
    <w:p w14:paraId="337CA104" w14:textId="77777777" w:rsidR="00E02136" w:rsidRDefault="00E02136" w:rsidP="00BC472D">
      <w:pPr>
        <w:pStyle w:val="Testonotadichiusura"/>
        <w:jc w:val="both"/>
      </w:pPr>
      <w:r>
        <w:rPr>
          <w:rStyle w:val="Rimandonotadichiusura"/>
        </w:rPr>
        <w:endnoteRef/>
      </w:r>
      <w:r>
        <w:t xml:space="preserve"> Bonitio (Bonizo, Bonito, Bonizzo). Il 3 novembre del 970, a Chiassa, partecipò a un placito in cui il monastero di Santa Fiora ottenne ragione contro Rodolfo (</w:t>
      </w:r>
      <w:r w:rsidRPr="007061EB">
        <w:t>Manaresi, 168</w:t>
      </w:r>
      <w:r>
        <w:t>); nell’aprile (o marzo) del 974, a Pavia, giudicò in un processo che contrapponeva l’arciprete Leo a Giovanni abate di San Pietro in Ciel d’Oro (</w:t>
      </w:r>
      <w:r w:rsidRPr="007061EB">
        <w:t>Manaresi, 173</w:t>
      </w:r>
      <w:r>
        <w:t>); nel 981 prese parte a un placito nel quale il giudice Astolfo ottenne ragione contro Riccardo riguardo ad alcuni beni in Corliasco (</w:t>
      </w:r>
      <w:r w:rsidRPr="00BC472D">
        <w:rPr>
          <w:u w:val="single"/>
        </w:rPr>
        <w:t>Manaresi, 196</w:t>
      </w:r>
      <w:r>
        <w:t>); il 6 giugno del 987 fu a Firenze, dove i canonici di San Giovanni ottennero il banno imperiale su alcuni possessi che erano stati loro confermati da un diploma di Ottone II (</w:t>
      </w:r>
      <w:r w:rsidRPr="007061EB">
        <w:t>Manaresi, 207</w:t>
      </w:r>
      <w:r>
        <w:t>); i</w:t>
      </w:r>
      <w:r w:rsidRPr="00DE3F1C">
        <w:t>l 14 feb. 995 giudicò, nel contado di Vicenza, in una causa che contrapponeva S. Zaccaria di Venezia a S. Giustina di Padova (</w:t>
      </w:r>
      <w:r w:rsidR="007061EB">
        <w:rPr>
          <w:u w:val="single"/>
        </w:rPr>
        <w:t>Veneto 12</w:t>
      </w:r>
      <w:r w:rsidRPr="00DE3F1C">
        <w:t>);</w:t>
      </w:r>
      <w:r>
        <w:t xml:space="preserve"> il 25 marzo del 996 e il 18 luglio 998, a Verona, partecipò a due processi che contrapponevano Pietro doge di Venezia a Giovanni vescovo di Belluno (</w:t>
      </w:r>
      <w:r w:rsidR="007061EB">
        <w:rPr>
          <w:u w:val="single"/>
        </w:rPr>
        <w:t>Veneto 13 e Veneto 16</w:t>
      </w:r>
      <w:r>
        <w:t>) (</w:t>
      </w:r>
      <w:r w:rsidRPr="00BD3FD3">
        <w:rPr>
          <w:smallCaps/>
        </w:rPr>
        <w:t>Radding</w:t>
      </w:r>
      <w:r>
        <w:t xml:space="preserve"> 1988, p. 251).</w:t>
      </w:r>
    </w:p>
  </w:endnote>
  <w:endnote w:id="12">
    <w:p w14:paraId="4F39F383" w14:textId="77777777" w:rsidR="00E02136" w:rsidRDefault="00E02136" w:rsidP="00BC472D">
      <w:pPr>
        <w:pStyle w:val="Testonotadichiusura"/>
        <w:jc w:val="both"/>
      </w:pPr>
      <w:r>
        <w:rPr>
          <w:rStyle w:val="Rimandonotadichiusura"/>
        </w:rPr>
        <w:endnoteRef/>
      </w:r>
      <w:r>
        <w:t xml:space="preserve"> Audibertus. Il 18 e il 22 luglio 998 partecipò a due placiti in cui si contrapponevano il doge Pietro e il vescovo di Belluno Giovanni (</w:t>
      </w:r>
      <w:r w:rsidR="007061EB">
        <w:rPr>
          <w:u w:val="single"/>
        </w:rPr>
        <w:t>Veneto 16, Veneto 17</w:t>
      </w:r>
      <w:r>
        <w:t xml:space="preserve">); nel febbraio del 1014, ad Arezzo, partecipò a un processo che vedeva contrapposti il monastero di Santa Fiora e Griffo figlio di Berardo per dei territori a Monte Ferentino (Manaresi, 280); nel marzo dello stesso anno, sempre ad Arezzo prese parte al placito che confermò al monastero delle Sante Fiora e Lucilla dei beni a Martinense e Barbaritana (Manaresi, 281); </w:t>
      </w:r>
      <w:r w:rsidRPr="00AB19D5">
        <w:t>il 10 feb</w:t>
      </w:r>
      <w:r>
        <w:t>braio</w:t>
      </w:r>
      <w:r w:rsidRPr="00AB19D5">
        <w:t xml:space="preserve"> 1018, </w:t>
      </w:r>
      <w:r>
        <w:t xml:space="preserve">di nuovo </w:t>
      </w:r>
      <w:r w:rsidRPr="00AB19D5">
        <w:t>a Verona, giudicò nel placito che contrapponeva Ingone ad Alberico, Gezone e Vualda (Manaresi, 299)</w:t>
      </w:r>
      <w:r w:rsidRPr="00AB19D5">
        <w:rPr>
          <w:sz w:val="24"/>
          <w:szCs w:val="24"/>
        </w:rPr>
        <w:t xml:space="preserve"> </w:t>
      </w:r>
      <w:r w:rsidRPr="00AB19D5">
        <w:t xml:space="preserve">); il 31 agosto 1023, </w:t>
      </w:r>
      <w:r>
        <w:t>nella stessa città</w:t>
      </w:r>
      <w:r w:rsidRPr="00AB19D5">
        <w:t xml:space="preserve">, partecipò al placito che riconosceva i possessi di San Zeno in Valle Paltennate (Manaresi, 320) </w:t>
      </w:r>
      <w:r>
        <w:t xml:space="preserve">  (</w:t>
      </w:r>
      <w:r w:rsidRPr="002310EA">
        <w:rPr>
          <w:smallCaps/>
        </w:rPr>
        <w:t>Radding</w:t>
      </w:r>
      <w:r>
        <w:t xml:space="preserve"> 1988,</w:t>
      </w:r>
      <w:r w:rsidRPr="00A60939">
        <w:t xml:space="preserve"> p. 262</w:t>
      </w:r>
      <w:r>
        <w:t>).</w:t>
      </w:r>
    </w:p>
  </w:endnote>
  <w:endnote w:id="13">
    <w:p w14:paraId="7D3FD95A" w14:textId="77777777" w:rsidR="00E02136" w:rsidRDefault="00E02136" w:rsidP="00BC472D">
      <w:pPr>
        <w:pStyle w:val="Testonotadichiusura"/>
        <w:jc w:val="both"/>
      </w:pPr>
      <w:r>
        <w:rPr>
          <w:rStyle w:val="Rimandonotadichiusura"/>
        </w:rPr>
        <w:endnoteRef/>
      </w:r>
      <w:r>
        <w:t xml:space="preserve"> Ambrosius. Figlio di Deusdedit iudex. Partecipò al placito del 18 luglio 998, a Verona, in cui si contrapponevano il vescovo di Belluno e il doge di Venezia (</w:t>
      </w:r>
      <w:r w:rsidR="007061EB">
        <w:rPr>
          <w:u w:val="single"/>
        </w:rPr>
        <w:t>Veneto 16</w:t>
      </w:r>
      <w:r>
        <w:t xml:space="preserve">); </w:t>
      </w:r>
      <w:r w:rsidRPr="000958BA">
        <w:t>il 3 novembre 1001, a</w:t>
      </w:r>
      <w:r>
        <w:t xml:space="preserve"> </w:t>
      </w:r>
      <w:r w:rsidRPr="000958BA">
        <w:t>Verona</w:t>
      </w:r>
      <w:r>
        <w:t xml:space="preserve">, </w:t>
      </w:r>
      <w:r w:rsidRPr="000958BA">
        <w:t>confermò la validità di un diploma di Ottone III a Vuerihen conte del Friuli (Manaresi, 267)</w:t>
      </w:r>
      <w:r>
        <w:t>; è testimoniato a Milano, Soranga e Castelmaggiore tra il 1008 e il 1012; prese parte al placito che si tenne il 5 marzo del 1017 a Cremona (Manaresi, 296); il 10 febbraio</w:t>
      </w:r>
      <w:r w:rsidRPr="000958BA">
        <w:t xml:space="preserve"> 1018, a Verona, giudicò nel placito che contrapponeva Ingone ad Alberico, </w:t>
      </w:r>
      <w:r>
        <w:t>Gezone e Vualda (Manaresi, 299) (</w:t>
      </w:r>
      <w:r w:rsidRPr="00DC0F35">
        <w:rPr>
          <w:smallCaps/>
        </w:rPr>
        <w:t>Radding</w:t>
      </w:r>
      <w:r>
        <w:t xml:space="preserve"> 1988, p. 262).</w:t>
      </w:r>
    </w:p>
  </w:endnote>
  <w:endnote w:id="14">
    <w:p w14:paraId="15826010" w14:textId="77777777" w:rsidR="00E02136" w:rsidRDefault="00E02136" w:rsidP="00BC472D">
      <w:pPr>
        <w:pStyle w:val="Testonotadichiusura"/>
        <w:jc w:val="both"/>
      </w:pPr>
      <w:r>
        <w:rPr>
          <w:rStyle w:val="Rimandonotadichiusura"/>
        </w:rPr>
        <w:endnoteRef/>
      </w:r>
      <w:r>
        <w:t xml:space="preserve"> Benno (Bevo, Beno). Il 18 luglio 998 prese parte a uno dei placiti che contrapponevano il vescovo di Belluno al doge Pietro (</w:t>
      </w:r>
      <w:r>
        <w:rPr>
          <w:u w:val="single"/>
        </w:rPr>
        <w:t xml:space="preserve">Veneto </w:t>
      </w:r>
      <w:r w:rsidR="007061EB">
        <w:rPr>
          <w:u w:val="single"/>
        </w:rPr>
        <w:t>16</w:t>
      </w:r>
      <w:r>
        <w:t>); a Verona, giudicò nel placito del 3 novembre 1001 (Manaresi, 267) (</w:t>
      </w:r>
      <w:r w:rsidRPr="00EE2363">
        <w:rPr>
          <w:smallCaps/>
        </w:rPr>
        <w:t>Radding</w:t>
      </w:r>
      <w:r>
        <w:t xml:space="preserve"> 1988, p. 262).</w:t>
      </w:r>
    </w:p>
  </w:endnote>
  <w:endnote w:id="15">
    <w:p w14:paraId="45ABFDC9" w14:textId="77777777" w:rsidR="00E02136" w:rsidRPr="00CD3ABA" w:rsidRDefault="00E02136">
      <w:pPr>
        <w:pStyle w:val="Testonotadichiusura"/>
      </w:pPr>
      <w:r>
        <w:rPr>
          <w:rStyle w:val="Rimandonotadichiusura"/>
        </w:rPr>
        <w:endnoteRef/>
      </w:r>
      <w:r>
        <w:t xml:space="preserve"> La </w:t>
      </w:r>
      <w:r>
        <w:rPr>
          <w:i/>
        </w:rPr>
        <w:t xml:space="preserve">curtis </w:t>
      </w:r>
      <w:r>
        <w:t xml:space="preserve"> è situata in territorio trentino (</w:t>
      </w:r>
      <w:r>
        <w:rPr>
          <w:smallCaps/>
        </w:rPr>
        <w:t>Castagnetti</w:t>
      </w:r>
      <w:r>
        <w:t xml:space="preserve"> 1993, p. 82).</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Arial"/>
    <w:panose1 w:val="00000000000000000000"/>
    <w:charset w:val="00"/>
    <w:family w:val="roman"/>
    <w:notTrueType/>
    <w:pitch w:val="default"/>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altName w:val="Times New Roman"/>
    <w:panose1 w:val="00000000000000000000"/>
    <w:charset w:val="00"/>
    <w:family w:val="roman"/>
    <w:notTrueType/>
    <w:pitch w:val="default"/>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1DF289" w14:textId="77777777" w:rsidR="001B6EDA" w:rsidRDefault="001B6EDA" w:rsidP="007067BE">
      <w:r>
        <w:separator/>
      </w:r>
    </w:p>
  </w:footnote>
  <w:footnote w:type="continuationSeparator" w:id="0">
    <w:p w14:paraId="4321D709" w14:textId="77777777" w:rsidR="001B6EDA" w:rsidRDefault="001B6EDA" w:rsidP="007067BE">
      <w:r>
        <w:continuationSeparator/>
      </w:r>
    </w:p>
  </w:footnote>
  <w:footnote w:id="1">
    <w:p w14:paraId="2606BD37" w14:textId="77777777" w:rsidR="00E02136" w:rsidRDefault="00E02136">
      <w:pPr>
        <w:pStyle w:val="Testonotaapidipagina"/>
      </w:pPr>
      <w:r>
        <w:rPr>
          <w:rStyle w:val="Rimandonotaapidipagina"/>
        </w:rPr>
        <w:footnoteRef/>
      </w:r>
      <w:r>
        <w:t xml:space="preserve"> </w:t>
      </w:r>
      <w:r w:rsidR="007061EB">
        <w:rPr>
          <w:i/>
        </w:rPr>
        <w:t xml:space="preserve">In Manaresi </w:t>
      </w:r>
      <w:r w:rsidRPr="007061EB">
        <w:t>iustitiam</w:t>
      </w:r>
      <w:r w:rsidRPr="007061EB">
        <w:rPr>
          <w:i/>
        </w:rPr>
        <w:t>.</w:t>
      </w:r>
    </w:p>
  </w:footnote>
  <w:footnote w:id="2">
    <w:p w14:paraId="6B95B6A0" w14:textId="77777777" w:rsidR="00E02136" w:rsidRDefault="00E02136">
      <w:pPr>
        <w:pStyle w:val="Testonotaapidipagina"/>
      </w:pPr>
      <w:r>
        <w:rPr>
          <w:rStyle w:val="Rimandonotaapidipagina"/>
        </w:rPr>
        <w:footnoteRef/>
      </w:r>
      <w:r>
        <w:t xml:space="preserve"> </w:t>
      </w:r>
      <w:r w:rsidR="007061EB">
        <w:rPr>
          <w:i/>
        </w:rPr>
        <w:t xml:space="preserve">In Manaresi </w:t>
      </w:r>
      <w:r w:rsidRPr="007061EB">
        <w:t>directi</w:t>
      </w:r>
      <w:r w:rsidRPr="007061EB">
        <w:rPr>
          <w:i/>
        </w:rPr>
        <w:t>.</w:t>
      </w:r>
    </w:p>
  </w:footnote>
  <w:footnote w:id="3">
    <w:p w14:paraId="698C1B8C" w14:textId="77777777" w:rsidR="00E02136" w:rsidRDefault="00E02136">
      <w:pPr>
        <w:pStyle w:val="Testonotaapidipagina"/>
      </w:pPr>
      <w:r>
        <w:rPr>
          <w:rStyle w:val="Rimandonotaapidipagina"/>
        </w:rPr>
        <w:footnoteRef/>
      </w:r>
      <w:r>
        <w:t xml:space="preserve"> </w:t>
      </w:r>
      <w:r w:rsidR="007061EB">
        <w:rPr>
          <w:i/>
        </w:rPr>
        <w:t xml:space="preserve">In Manaresi </w:t>
      </w:r>
      <w:r w:rsidRPr="007061EB">
        <w:t>pars</w:t>
      </w:r>
      <w:r w:rsidRPr="007061EB">
        <w:rPr>
          <w:i/>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hyphenationZone w:val="283"/>
  <w:characterSpacingControl w:val="doNotCompress"/>
  <w:footnotePr>
    <w:numFmt w:val="lowerLette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5BB7"/>
    <w:rsid w:val="00014319"/>
    <w:rsid w:val="000374D6"/>
    <w:rsid w:val="000432F6"/>
    <w:rsid w:val="0005441D"/>
    <w:rsid w:val="000919E0"/>
    <w:rsid w:val="00095EA4"/>
    <w:rsid w:val="000964BA"/>
    <w:rsid w:val="00105C8B"/>
    <w:rsid w:val="00121A39"/>
    <w:rsid w:val="00146D3E"/>
    <w:rsid w:val="00164844"/>
    <w:rsid w:val="001B6EDA"/>
    <w:rsid w:val="001D131F"/>
    <w:rsid w:val="002310EA"/>
    <w:rsid w:val="0026014A"/>
    <w:rsid w:val="002938DA"/>
    <w:rsid w:val="002A3245"/>
    <w:rsid w:val="002A7916"/>
    <w:rsid w:val="002E1785"/>
    <w:rsid w:val="002E5AEF"/>
    <w:rsid w:val="003373B6"/>
    <w:rsid w:val="00352C98"/>
    <w:rsid w:val="0037562F"/>
    <w:rsid w:val="00377111"/>
    <w:rsid w:val="003B0AE2"/>
    <w:rsid w:val="00521E08"/>
    <w:rsid w:val="00531E44"/>
    <w:rsid w:val="00542295"/>
    <w:rsid w:val="00575CE3"/>
    <w:rsid w:val="005B1C1E"/>
    <w:rsid w:val="005B3054"/>
    <w:rsid w:val="0061330B"/>
    <w:rsid w:val="00625825"/>
    <w:rsid w:val="0066209A"/>
    <w:rsid w:val="007061EB"/>
    <w:rsid w:val="007067BE"/>
    <w:rsid w:val="007537DE"/>
    <w:rsid w:val="00763060"/>
    <w:rsid w:val="00770432"/>
    <w:rsid w:val="007D31E7"/>
    <w:rsid w:val="00881D84"/>
    <w:rsid w:val="00955E84"/>
    <w:rsid w:val="009826EC"/>
    <w:rsid w:val="00990EA2"/>
    <w:rsid w:val="009E1180"/>
    <w:rsid w:val="009F5E92"/>
    <w:rsid w:val="00A0581C"/>
    <w:rsid w:val="00A60939"/>
    <w:rsid w:val="00A60C20"/>
    <w:rsid w:val="00A63C8F"/>
    <w:rsid w:val="00AB19D5"/>
    <w:rsid w:val="00AF6463"/>
    <w:rsid w:val="00B24592"/>
    <w:rsid w:val="00B75E84"/>
    <w:rsid w:val="00BC311C"/>
    <w:rsid w:val="00BC472D"/>
    <w:rsid w:val="00BD3FD3"/>
    <w:rsid w:val="00BE6725"/>
    <w:rsid w:val="00C10361"/>
    <w:rsid w:val="00C24C5E"/>
    <w:rsid w:val="00C51EB4"/>
    <w:rsid w:val="00C6134F"/>
    <w:rsid w:val="00C95D56"/>
    <w:rsid w:val="00CD3ABA"/>
    <w:rsid w:val="00CD751E"/>
    <w:rsid w:val="00D11AD3"/>
    <w:rsid w:val="00D9751F"/>
    <w:rsid w:val="00DC0F35"/>
    <w:rsid w:val="00DD0CF9"/>
    <w:rsid w:val="00DE3F1C"/>
    <w:rsid w:val="00E02136"/>
    <w:rsid w:val="00E05BB7"/>
    <w:rsid w:val="00E35BE1"/>
    <w:rsid w:val="00E467B4"/>
    <w:rsid w:val="00EA77C8"/>
    <w:rsid w:val="00ED6460"/>
    <w:rsid w:val="00EE2363"/>
    <w:rsid w:val="00F179A4"/>
    <w:rsid w:val="00F4392B"/>
    <w:rsid w:val="00F47D47"/>
    <w:rsid w:val="00F61C6A"/>
    <w:rsid w:val="00F71F1D"/>
    <w:rsid w:val="00F80DF6"/>
    <w:rsid w:val="00FB3CB3"/>
    <w:rsid w:val="00FE155B"/>
    <w:rsid w:val="00FE3DA0"/>
    <w:rsid w:val="00FF568B"/>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32BB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6014A"/>
    <w:pPr>
      <w:suppressAutoHyphens/>
      <w:spacing w:after="0" w:line="240" w:lineRule="auto"/>
    </w:pPr>
    <w:rPr>
      <w:rFonts w:ascii="Times New Roman" w:eastAsia="Times New Roman" w:hAnsi="Times New Roman" w:cs="Times New Roman"/>
      <w:sz w:val="24"/>
      <w:szCs w:val="24"/>
      <w:lang w:eastAsia="ar-SA"/>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7067BE"/>
    <w:pPr>
      <w:tabs>
        <w:tab w:val="center" w:pos="4819"/>
        <w:tab w:val="right" w:pos="9638"/>
      </w:tabs>
    </w:pPr>
  </w:style>
  <w:style w:type="character" w:customStyle="1" w:styleId="IntestazioneCarattere">
    <w:name w:val="Intestazione Carattere"/>
    <w:basedOn w:val="Caratterepredefinitoparagrafo"/>
    <w:link w:val="Intestazione"/>
    <w:uiPriority w:val="99"/>
    <w:rsid w:val="007067BE"/>
    <w:rPr>
      <w:rFonts w:ascii="Times New Roman" w:eastAsia="Times New Roman" w:hAnsi="Times New Roman" w:cs="Times New Roman"/>
      <w:sz w:val="24"/>
      <w:szCs w:val="24"/>
      <w:lang w:eastAsia="ar-SA"/>
    </w:rPr>
  </w:style>
  <w:style w:type="paragraph" w:styleId="Pidipagina">
    <w:name w:val="footer"/>
    <w:basedOn w:val="Normale"/>
    <w:link w:val="PidipaginaCarattere"/>
    <w:uiPriority w:val="99"/>
    <w:unhideWhenUsed/>
    <w:rsid w:val="007067BE"/>
    <w:pPr>
      <w:tabs>
        <w:tab w:val="center" w:pos="4819"/>
        <w:tab w:val="right" w:pos="9638"/>
      </w:tabs>
    </w:pPr>
  </w:style>
  <w:style w:type="character" w:customStyle="1" w:styleId="PidipaginaCarattere">
    <w:name w:val="Piè di pagina Carattere"/>
    <w:basedOn w:val="Caratterepredefinitoparagrafo"/>
    <w:link w:val="Pidipagina"/>
    <w:uiPriority w:val="99"/>
    <w:rsid w:val="007067BE"/>
    <w:rPr>
      <w:rFonts w:ascii="Times New Roman" w:eastAsia="Times New Roman" w:hAnsi="Times New Roman" w:cs="Times New Roman"/>
      <w:sz w:val="24"/>
      <w:szCs w:val="24"/>
      <w:lang w:eastAsia="ar-SA"/>
    </w:rPr>
  </w:style>
  <w:style w:type="paragraph" w:styleId="Testonotadichiusura">
    <w:name w:val="endnote text"/>
    <w:basedOn w:val="Normale"/>
    <w:link w:val="TestonotadichiusuraCarattere"/>
    <w:uiPriority w:val="99"/>
    <w:semiHidden/>
    <w:unhideWhenUsed/>
    <w:rsid w:val="000432F6"/>
    <w:rPr>
      <w:sz w:val="20"/>
      <w:szCs w:val="20"/>
    </w:rPr>
  </w:style>
  <w:style w:type="character" w:customStyle="1" w:styleId="TestonotadichiusuraCarattere">
    <w:name w:val="Testo nota di chiusura Carattere"/>
    <w:basedOn w:val="Caratterepredefinitoparagrafo"/>
    <w:link w:val="Testonotadichiusura"/>
    <w:uiPriority w:val="99"/>
    <w:semiHidden/>
    <w:rsid w:val="000432F6"/>
    <w:rPr>
      <w:rFonts w:ascii="Times New Roman" w:eastAsia="Times New Roman" w:hAnsi="Times New Roman" w:cs="Times New Roman"/>
      <w:sz w:val="20"/>
      <w:szCs w:val="20"/>
      <w:lang w:eastAsia="ar-SA"/>
    </w:rPr>
  </w:style>
  <w:style w:type="character" w:styleId="Rimandonotadichiusura">
    <w:name w:val="endnote reference"/>
    <w:basedOn w:val="Caratterepredefinitoparagrafo"/>
    <w:uiPriority w:val="99"/>
    <w:semiHidden/>
    <w:unhideWhenUsed/>
    <w:rsid w:val="000432F6"/>
    <w:rPr>
      <w:vertAlign w:val="superscript"/>
    </w:rPr>
  </w:style>
  <w:style w:type="paragraph" w:styleId="Testonotaapidipagina">
    <w:name w:val="footnote text"/>
    <w:basedOn w:val="Normale"/>
    <w:link w:val="TestonotaapidipaginaCarattere"/>
    <w:uiPriority w:val="99"/>
    <w:semiHidden/>
    <w:unhideWhenUsed/>
    <w:rsid w:val="002310EA"/>
    <w:rPr>
      <w:sz w:val="20"/>
      <w:szCs w:val="20"/>
    </w:rPr>
  </w:style>
  <w:style w:type="character" w:customStyle="1" w:styleId="TestonotaapidipaginaCarattere">
    <w:name w:val="Testo nota a piè di pagina Carattere"/>
    <w:basedOn w:val="Caratterepredefinitoparagrafo"/>
    <w:link w:val="Testonotaapidipagina"/>
    <w:uiPriority w:val="99"/>
    <w:semiHidden/>
    <w:rsid w:val="002310EA"/>
    <w:rPr>
      <w:rFonts w:ascii="Times New Roman" w:eastAsia="Times New Roman" w:hAnsi="Times New Roman" w:cs="Times New Roman"/>
      <w:sz w:val="20"/>
      <w:szCs w:val="20"/>
      <w:lang w:eastAsia="ar-SA"/>
    </w:rPr>
  </w:style>
  <w:style w:type="character" w:styleId="Rimandonotaapidipagina">
    <w:name w:val="footnote reference"/>
    <w:basedOn w:val="Caratterepredefinitoparagrafo"/>
    <w:uiPriority w:val="99"/>
    <w:semiHidden/>
    <w:unhideWhenUsed/>
    <w:rsid w:val="002310EA"/>
    <w:rPr>
      <w:vertAlign w:val="superscript"/>
    </w:rPr>
  </w:style>
  <w:style w:type="paragraph" w:styleId="Testofumetto">
    <w:name w:val="Balloon Text"/>
    <w:basedOn w:val="Normale"/>
    <w:link w:val="TestofumettoCarattere"/>
    <w:uiPriority w:val="99"/>
    <w:semiHidden/>
    <w:unhideWhenUsed/>
    <w:rsid w:val="00A63C8F"/>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A63C8F"/>
    <w:rPr>
      <w:rFonts w:ascii="Lucida Grande" w:eastAsia="Times New Roman" w:hAnsi="Lucida Grande" w:cs="Lucida Grande"/>
      <w:sz w:val="18"/>
      <w:szCs w:val="18"/>
      <w:lang w:eastAsia="ar-S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6014A"/>
    <w:pPr>
      <w:suppressAutoHyphens/>
      <w:spacing w:after="0" w:line="240" w:lineRule="auto"/>
    </w:pPr>
    <w:rPr>
      <w:rFonts w:ascii="Times New Roman" w:eastAsia="Times New Roman" w:hAnsi="Times New Roman" w:cs="Times New Roman"/>
      <w:sz w:val="24"/>
      <w:szCs w:val="24"/>
      <w:lang w:eastAsia="ar-SA"/>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7067BE"/>
    <w:pPr>
      <w:tabs>
        <w:tab w:val="center" w:pos="4819"/>
        <w:tab w:val="right" w:pos="9638"/>
      </w:tabs>
    </w:pPr>
  </w:style>
  <w:style w:type="character" w:customStyle="1" w:styleId="IntestazioneCarattere">
    <w:name w:val="Intestazione Carattere"/>
    <w:basedOn w:val="Caratterepredefinitoparagrafo"/>
    <w:link w:val="Intestazione"/>
    <w:uiPriority w:val="99"/>
    <w:rsid w:val="007067BE"/>
    <w:rPr>
      <w:rFonts w:ascii="Times New Roman" w:eastAsia="Times New Roman" w:hAnsi="Times New Roman" w:cs="Times New Roman"/>
      <w:sz w:val="24"/>
      <w:szCs w:val="24"/>
      <w:lang w:eastAsia="ar-SA"/>
    </w:rPr>
  </w:style>
  <w:style w:type="paragraph" w:styleId="Pidipagina">
    <w:name w:val="footer"/>
    <w:basedOn w:val="Normale"/>
    <w:link w:val="PidipaginaCarattere"/>
    <w:uiPriority w:val="99"/>
    <w:unhideWhenUsed/>
    <w:rsid w:val="007067BE"/>
    <w:pPr>
      <w:tabs>
        <w:tab w:val="center" w:pos="4819"/>
        <w:tab w:val="right" w:pos="9638"/>
      </w:tabs>
    </w:pPr>
  </w:style>
  <w:style w:type="character" w:customStyle="1" w:styleId="PidipaginaCarattere">
    <w:name w:val="Piè di pagina Carattere"/>
    <w:basedOn w:val="Caratterepredefinitoparagrafo"/>
    <w:link w:val="Pidipagina"/>
    <w:uiPriority w:val="99"/>
    <w:rsid w:val="007067BE"/>
    <w:rPr>
      <w:rFonts w:ascii="Times New Roman" w:eastAsia="Times New Roman" w:hAnsi="Times New Roman" w:cs="Times New Roman"/>
      <w:sz w:val="24"/>
      <w:szCs w:val="24"/>
      <w:lang w:eastAsia="ar-SA"/>
    </w:rPr>
  </w:style>
  <w:style w:type="paragraph" w:styleId="Testonotadichiusura">
    <w:name w:val="endnote text"/>
    <w:basedOn w:val="Normale"/>
    <w:link w:val="TestonotadichiusuraCarattere"/>
    <w:uiPriority w:val="99"/>
    <w:semiHidden/>
    <w:unhideWhenUsed/>
    <w:rsid w:val="000432F6"/>
    <w:rPr>
      <w:sz w:val="20"/>
      <w:szCs w:val="20"/>
    </w:rPr>
  </w:style>
  <w:style w:type="character" w:customStyle="1" w:styleId="TestonotadichiusuraCarattere">
    <w:name w:val="Testo nota di chiusura Carattere"/>
    <w:basedOn w:val="Caratterepredefinitoparagrafo"/>
    <w:link w:val="Testonotadichiusura"/>
    <w:uiPriority w:val="99"/>
    <w:semiHidden/>
    <w:rsid w:val="000432F6"/>
    <w:rPr>
      <w:rFonts w:ascii="Times New Roman" w:eastAsia="Times New Roman" w:hAnsi="Times New Roman" w:cs="Times New Roman"/>
      <w:sz w:val="20"/>
      <w:szCs w:val="20"/>
      <w:lang w:eastAsia="ar-SA"/>
    </w:rPr>
  </w:style>
  <w:style w:type="character" w:styleId="Rimandonotadichiusura">
    <w:name w:val="endnote reference"/>
    <w:basedOn w:val="Caratterepredefinitoparagrafo"/>
    <w:uiPriority w:val="99"/>
    <w:semiHidden/>
    <w:unhideWhenUsed/>
    <w:rsid w:val="000432F6"/>
    <w:rPr>
      <w:vertAlign w:val="superscript"/>
    </w:rPr>
  </w:style>
  <w:style w:type="paragraph" w:styleId="Testonotaapidipagina">
    <w:name w:val="footnote text"/>
    <w:basedOn w:val="Normale"/>
    <w:link w:val="TestonotaapidipaginaCarattere"/>
    <w:uiPriority w:val="99"/>
    <w:semiHidden/>
    <w:unhideWhenUsed/>
    <w:rsid w:val="002310EA"/>
    <w:rPr>
      <w:sz w:val="20"/>
      <w:szCs w:val="20"/>
    </w:rPr>
  </w:style>
  <w:style w:type="character" w:customStyle="1" w:styleId="TestonotaapidipaginaCarattere">
    <w:name w:val="Testo nota a piè di pagina Carattere"/>
    <w:basedOn w:val="Caratterepredefinitoparagrafo"/>
    <w:link w:val="Testonotaapidipagina"/>
    <w:uiPriority w:val="99"/>
    <w:semiHidden/>
    <w:rsid w:val="002310EA"/>
    <w:rPr>
      <w:rFonts w:ascii="Times New Roman" w:eastAsia="Times New Roman" w:hAnsi="Times New Roman" w:cs="Times New Roman"/>
      <w:sz w:val="20"/>
      <w:szCs w:val="20"/>
      <w:lang w:eastAsia="ar-SA"/>
    </w:rPr>
  </w:style>
  <w:style w:type="character" w:styleId="Rimandonotaapidipagina">
    <w:name w:val="footnote reference"/>
    <w:basedOn w:val="Caratterepredefinitoparagrafo"/>
    <w:uiPriority w:val="99"/>
    <w:semiHidden/>
    <w:unhideWhenUsed/>
    <w:rsid w:val="002310EA"/>
    <w:rPr>
      <w:vertAlign w:val="superscript"/>
    </w:rPr>
  </w:style>
  <w:style w:type="paragraph" w:styleId="Testofumetto">
    <w:name w:val="Balloon Text"/>
    <w:basedOn w:val="Normale"/>
    <w:link w:val="TestofumettoCarattere"/>
    <w:uiPriority w:val="99"/>
    <w:semiHidden/>
    <w:unhideWhenUsed/>
    <w:rsid w:val="00A63C8F"/>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A63C8F"/>
    <w:rPr>
      <w:rFonts w:ascii="Lucida Grande" w:eastAsia="Times New Roman" w:hAnsi="Lucida Grande" w:cs="Lucida Grande"/>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24C532-A86F-B346-9F6D-B4E640AD3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767</Words>
  <Characters>4376</Characters>
  <Application>Microsoft Macintosh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MariaRosa</dc:creator>
  <cp:keywords/>
  <dc:description/>
  <cp:lastModifiedBy>Fidel Mbanga Bauna</cp:lastModifiedBy>
  <cp:revision>3</cp:revision>
  <cp:lastPrinted>2014-12-03T00:05:00Z</cp:lastPrinted>
  <dcterms:created xsi:type="dcterms:W3CDTF">2014-12-03T00:05:00Z</dcterms:created>
  <dcterms:modified xsi:type="dcterms:W3CDTF">2014-12-03T00:07:00Z</dcterms:modified>
</cp:coreProperties>
</file>